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EB" w:rsidRPr="00F832C1" w:rsidRDefault="00037DEB" w:rsidP="00037DEB">
      <w:pPr>
        <w:jc w:val="center"/>
      </w:pPr>
      <w:r>
        <w:rPr>
          <w:noProof/>
          <w:sz w:val="28"/>
        </w:rPr>
        <w:drawing>
          <wp:inline distT="0" distB="0" distL="0" distR="0">
            <wp:extent cx="802640" cy="1056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DEB" w:rsidRPr="001529AF" w:rsidRDefault="00037DEB" w:rsidP="00037DE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</w:r>
      <w:r w:rsidRPr="001529AF">
        <w:rPr>
          <w:sz w:val="20"/>
          <w:szCs w:val="20"/>
        </w:rPr>
        <w:tab/>
      </w:r>
    </w:p>
    <w:p w:rsidR="00037DEB" w:rsidRPr="001529AF" w:rsidRDefault="00037DEB" w:rsidP="00037D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037DEB" w:rsidRPr="001529AF" w:rsidRDefault="00037DEB" w:rsidP="00037D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:rsidR="00037DEB" w:rsidRPr="001529AF" w:rsidRDefault="00037DEB" w:rsidP="00037DEB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037DEB" w:rsidRPr="001529AF" w:rsidRDefault="00037DEB" w:rsidP="00037DE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037DEB" w:rsidRPr="001529AF" w:rsidRDefault="00037DEB" w:rsidP="00037DE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37DEB" w:rsidRPr="001529AF" w:rsidRDefault="00037DEB" w:rsidP="00037DE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037DEB" w:rsidRPr="00B8231C" w:rsidTr="00C81DF8">
        <w:tc>
          <w:tcPr>
            <w:tcW w:w="675" w:type="dxa"/>
          </w:tcPr>
          <w:p w:rsidR="00037DEB" w:rsidRPr="001529AF" w:rsidRDefault="00037DEB" w:rsidP="00C81D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37DEB" w:rsidRPr="001529AF" w:rsidRDefault="00600227" w:rsidP="00C81D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</w:t>
            </w:r>
          </w:p>
        </w:tc>
        <w:tc>
          <w:tcPr>
            <w:tcW w:w="3827" w:type="dxa"/>
          </w:tcPr>
          <w:p w:rsidR="00037DEB" w:rsidRPr="001529AF" w:rsidRDefault="00037DEB" w:rsidP="00C81D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037DEB" w:rsidRPr="001529AF" w:rsidRDefault="00037DEB" w:rsidP="00C81D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7DEB" w:rsidRPr="00B8231C" w:rsidRDefault="00037DEB" w:rsidP="006002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B8231C">
              <w:rPr>
                <w:b/>
                <w:sz w:val="28"/>
                <w:szCs w:val="28"/>
              </w:rPr>
              <w:t xml:space="preserve">  </w:t>
            </w:r>
            <w:r w:rsidR="00600227">
              <w:rPr>
                <w:b/>
                <w:sz w:val="28"/>
                <w:szCs w:val="28"/>
              </w:rPr>
              <w:t>346</w:t>
            </w:r>
            <w:r w:rsidRPr="00B8231C">
              <w:rPr>
                <w:b/>
                <w:sz w:val="28"/>
                <w:szCs w:val="28"/>
              </w:rPr>
              <w:t xml:space="preserve">   -ра</w:t>
            </w:r>
          </w:p>
        </w:tc>
      </w:tr>
    </w:tbl>
    <w:p w:rsidR="00037DEB" w:rsidRPr="001529AF" w:rsidRDefault="00037DEB" w:rsidP="00037DE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037DEB" w:rsidRDefault="00037DEB" w:rsidP="00037DEB"/>
    <w:p w:rsidR="00585B92" w:rsidRDefault="00585B92" w:rsidP="00585B9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Комплексного плана </w:t>
      </w:r>
    </w:p>
    <w:p w:rsidR="00585B92" w:rsidRPr="00555D18" w:rsidRDefault="00585B92" w:rsidP="00585B92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мероприятий по профилактике правонарушений и обеспечению правопорядка, благополучия и безопасности жителей Яковлевского муниципального округа  на 2024 год</w:t>
      </w:r>
    </w:p>
    <w:bookmarkEnd w:id="0"/>
    <w:p w:rsidR="0083669F" w:rsidRPr="00362FB4" w:rsidRDefault="0083669F" w:rsidP="0083669F">
      <w:pPr>
        <w:jc w:val="center"/>
        <w:rPr>
          <w:b/>
          <w:sz w:val="28"/>
          <w:szCs w:val="28"/>
        </w:rPr>
      </w:pPr>
    </w:p>
    <w:p w:rsidR="00037DEB" w:rsidRPr="00362FB4" w:rsidRDefault="00037DEB" w:rsidP="00362FB4">
      <w:pPr>
        <w:jc w:val="center"/>
        <w:rPr>
          <w:b/>
          <w:sz w:val="28"/>
          <w:szCs w:val="28"/>
        </w:rPr>
      </w:pPr>
    </w:p>
    <w:p w:rsidR="00EC33CE" w:rsidRDefault="00585B92" w:rsidP="00F6405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85B92">
        <w:rPr>
          <w:sz w:val="28"/>
          <w:szCs w:val="28"/>
        </w:rPr>
        <w:t>В целях организации деятельности по реализации прав органов местного самоуправления Яковлевского муниципального округа  в сфере профилактики правонарушений, предусмотренных статьей 12 Федерального закона от 23 июня 2016 года № 182-ФЗ «Об основах системы профилактики правонарушений в Российской Федерации», в рамках участия органов местного самоуправления в осуществлении профилактики правонарушений</w:t>
      </w:r>
      <w:r w:rsidRPr="00585B92">
        <w:rPr>
          <w:rFonts w:eastAsiaTheme="minorEastAsia"/>
          <w:sz w:val="28"/>
          <w:szCs w:val="28"/>
        </w:rPr>
        <w:t xml:space="preserve"> </w:t>
      </w:r>
      <w:r w:rsidRPr="00585B92">
        <w:rPr>
          <w:sz w:val="28"/>
          <w:szCs w:val="28"/>
        </w:rPr>
        <w:t>в Приморском крае (статья 6 Закона Приморского края от 05 июля 2017 года № 142-КЗ</w:t>
      </w:r>
      <w:proofErr w:type="gramEnd"/>
      <w:r w:rsidRPr="00585B92">
        <w:rPr>
          <w:sz w:val="28"/>
          <w:szCs w:val="28"/>
        </w:rPr>
        <w:t xml:space="preserve"> «</w:t>
      </w:r>
      <w:proofErr w:type="gramStart"/>
      <w:r w:rsidRPr="00585B92">
        <w:rPr>
          <w:sz w:val="28"/>
          <w:szCs w:val="28"/>
        </w:rPr>
        <w:t>Об отдельных вопросах в сфере профилактики правонарушений в Приморском крае») на территории Яковлевского муниципального  округа</w:t>
      </w:r>
      <w:proofErr w:type="gramEnd"/>
    </w:p>
    <w:p w:rsidR="00EC33CE" w:rsidRPr="00EC33CE" w:rsidRDefault="00EC33CE" w:rsidP="00F6405F">
      <w:pPr>
        <w:pStyle w:val="ab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EC33CE">
        <w:rPr>
          <w:sz w:val="28"/>
          <w:szCs w:val="28"/>
        </w:rPr>
        <w:t xml:space="preserve">Утвердить Комплексный план мероприятий </w:t>
      </w:r>
      <w:r w:rsidRPr="00EC33CE">
        <w:rPr>
          <w:bCs/>
          <w:color w:val="000000"/>
          <w:sz w:val="28"/>
          <w:szCs w:val="28"/>
        </w:rPr>
        <w:t>по профилактике правонарушений и обеспечению правопорядка, благополучия и безопасности жителей Яковлевского муниципального округа  на 2024 год</w:t>
      </w:r>
      <w:r w:rsidR="00F6405F">
        <w:rPr>
          <w:bCs/>
          <w:color w:val="000000"/>
          <w:sz w:val="28"/>
          <w:szCs w:val="28"/>
        </w:rPr>
        <w:t xml:space="preserve"> (далее</w:t>
      </w:r>
      <w:r w:rsidR="003C7F8A">
        <w:rPr>
          <w:bCs/>
          <w:color w:val="000000"/>
          <w:sz w:val="28"/>
          <w:szCs w:val="28"/>
        </w:rPr>
        <w:t xml:space="preserve"> </w:t>
      </w:r>
      <w:r w:rsidR="00F6405F">
        <w:rPr>
          <w:bCs/>
          <w:color w:val="000000"/>
          <w:sz w:val="28"/>
          <w:szCs w:val="28"/>
        </w:rPr>
        <w:t>- Комплексный план на 2024 год)</w:t>
      </w:r>
      <w:r>
        <w:rPr>
          <w:bCs/>
          <w:color w:val="000000"/>
          <w:sz w:val="28"/>
          <w:szCs w:val="28"/>
        </w:rPr>
        <w:t>.</w:t>
      </w:r>
    </w:p>
    <w:p w:rsidR="00EC33CE" w:rsidRDefault="00EC33CE" w:rsidP="00F6405F">
      <w:pPr>
        <w:pStyle w:val="ab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по исполнению административного законодательства  Администрации Яковлевского муниципального округа  </w:t>
      </w:r>
      <w:r>
        <w:rPr>
          <w:sz w:val="28"/>
          <w:szCs w:val="28"/>
        </w:rPr>
        <w:lastRenderedPageBreak/>
        <w:t>(Пояркова А.А.) взять под контроль выполнения мероприятий  Комплексного плана на 2024 год.</w:t>
      </w:r>
    </w:p>
    <w:p w:rsidR="00F6405F" w:rsidRDefault="00EC33CE" w:rsidP="00F6405F">
      <w:pPr>
        <w:pStyle w:val="ab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EC33CE">
        <w:rPr>
          <w:sz w:val="28"/>
          <w:szCs w:val="28"/>
        </w:rPr>
        <w:t>Руководителям структурных подразделений Администрации Яковлевского муниципального округа (Новикова В.В., Шилова Н.С., Гусаков Э.В., Растворова Е.В., Котенок В.И.), руководителям муниципальных учреждений Яковлевского муниципального округа (Костенко С.В., Дудка Т.И.)</w:t>
      </w:r>
      <w:r w:rsidR="00F6405F">
        <w:rPr>
          <w:sz w:val="28"/>
          <w:szCs w:val="28"/>
        </w:rPr>
        <w:t>:</w:t>
      </w:r>
    </w:p>
    <w:p w:rsidR="00EC33CE" w:rsidRDefault="00EC33CE" w:rsidP="00F6405F">
      <w:pPr>
        <w:pStyle w:val="ab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выполнение мероприятий</w:t>
      </w:r>
      <w:r w:rsidR="00F6405F">
        <w:rPr>
          <w:sz w:val="28"/>
          <w:szCs w:val="28"/>
        </w:rPr>
        <w:t xml:space="preserve"> Комплексного плана на 2024 год;</w:t>
      </w:r>
    </w:p>
    <w:p w:rsidR="00F6405F" w:rsidRDefault="00F6405F" w:rsidP="00F6405F">
      <w:pPr>
        <w:pStyle w:val="ab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до 10 числа месяца, следующего за отчетным кварталом, предоставлять информацию о выполнении мероприятий Комплексного плана на 2024 год в отдел по исполнению административного законодательства Администрации Яковлевского муниципального округа. </w:t>
      </w:r>
    </w:p>
    <w:p w:rsidR="00F6405F" w:rsidRDefault="00F6405F" w:rsidP="00F6405F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405F">
        <w:rPr>
          <w:sz w:val="28"/>
          <w:szCs w:val="28"/>
        </w:rPr>
        <w:t xml:space="preserve">Руководителям:  КГКУ «ПЦЗН» в Яковлевском муниципальном районе, Отдела по Яковлевскому муниципальному району КГКУ «Центр социальной поддержки населению Приморского края»,  </w:t>
      </w:r>
      <w:r>
        <w:rPr>
          <w:sz w:val="28"/>
          <w:szCs w:val="28"/>
        </w:rPr>
        <w:t xml:space="preserve"> </w:t>
      </w:r>
      <w:r w:rsidRPr="00F6405F">
        <w:rPr>
          <w:sz w:val="28"/>
          <w:szCs w:val="28"/>
        </w:rPr>
        <w:t>Арсеньевск</w:t>
      </w:r>
      <w:r>
        <w:rPr>
          <w:sz w:val="28"/>
          <w:szCs w:val="28"/>
        </w:rPr>
        <w:t>ого</w:t>
      </w:r>
      <w:r w:rsidRPr="00F6405F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а</w:t>
      </w:r>
      <w:r w:rsidRPr="00F6405F">
        <w:rPr>
          <w:sz w:val="28"/>
          <w:szCs w:val="28"/>
        </w:rPr>
        <w:t xml:space="preserve"> краевого казенного автономного учреждения социального обслуживания «Приморский центр социального обслуживания населения»</w:t>
      </w:r>
      <w:r>
        <w:rPr>
          <w:sz w:val="28"/>
          <w:szCs w:val="28"/>
        </w:rPr>
        <w:t>,</w:t>
      </w:r>
      <w:r w:rsidRPr="00F6405F">
        <w:rPr>
          <w:sz w:val="28"/>
          <w:szCs w:val="28"/>
        </w:rPr>
        <w:t xml:space="preserve"> Филиала по Яковлевскому району ФКУ УИИ ГУФСИН России по Приморскому краю</w:t>
      </w:r>
      <w:r>
        <w:rPr>
          <w:sz w:val="28"/>
          <w:szCs w:val="28"/>
        </w:rPr>
        <w:t>, отделения полиции № 12 МО МВД России «Арсеньевский» рекомендовать:</w:t>
      </w:r>
    </w:p>
    <w:p w:rsidR="00F6405F" w:rsidRDefault="00F6405F" w:rsidP="00F6405F">
      <w:pPr>
        <w:pStyle w:val="ab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Комплексного плана на 2024 год.</w:t>
      </w:r>
    </w:p>
    <w:p w:rsidR="00F6405F" w:rsidRDefault="00F6405F" w:rsidP="00F6405F">
      <w:pPr>
        <w:pStyle w:val="ab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до 10 числа месяца, следующего за отчетным кварталом, предоставлять информацию о выполнении мероприятий Комплексного плана на 2024 год в отдел по исполнению административного законодательства Администрации Яковлевского муниципального округа. </w:t>
      </w:r>
    </w:p>
    <w:p w:rsidR="00F6405F" w:rsidRPr="00F6405F" w:rsidRDefault="00F6405F" w:rsidP="00F6405F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6405F">
        <w:rPr>
          <w:sz w:val="28"/>
          <w:szCs w:val="28"/>
        </w:rPr>
        <w:t>Ежеквартально заслушивать ответственных исполнителей об итогах работы по реализации мероприятий Комплексного плана на 2024 год на заседаниях</w:t>
      </w:r>
      <w:r w:rsidR="003C7F8A">
        <w:rPr>
          <w:sz w:val="28"/>
          <w:szCs w:val="28"/>
        </w:rPr>
        <w:t xml:space="preserve"> М</w:t>
      </w:r>
      <w:r w:rsidRPr="00F6405F">
        <w:rPr>
          <w:sz w:val="28"/>
          <w:szCs w:val="28"/>
        </w:rPr>
        <w:t xml:space="preserve">ежведомственной комиссии </w:t>
      </w:r>
      <w:r w:rsidRPr="00F6405F">
        <w:rPr>
          <w:color w:val="000000"/>
          <w:sz w:val="28"/>
          <w:szCs w:val="28"/>
        </w:rPr>
        <w:t>по профилактике правонарушений и обеспечению правопорядка, благополучия и безопасности жителей Яковлевского муниципального округа</w:t>
      </w:r>
      <w:r w:rsidR="003C7F8A">
        <w:rPr>
          <w:color w:val="000000"/>
          <w:sz w:val="28"/>
          <w:szCs w:val="28"/>
        </w:rPr>
        <w:t>.</w:t>
      </w:r>
      <w:r w:rsidRPr="00F6405F">
        <w:rPr>
          <w:color w:val="000000"/>
          <w:sz w:val="28"/>
          <w:szCs w:val="28"/>
        </w:rPr>
        <w:t xml:space="preserve">   </w:t>
      </w:r>
    </w:p>
    <w:p w:rsidR="006566EB" w:rsidRPr="003C7F8A" w:rsidRDefault="00F6405F" w:rsidP="00F6405F">
      <w:pPr>
        <w:pStyle w:val="ab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3C7F8A">
        <w:rPr>
          <w:sz w:val="28"/>
          <w:szCs w:val="28"/>
        </w:rPr>
        <w:lastRenderedPageBreak/>
        <w:t xml:space="preserve"> </w:t>
      </w:r>
      <w:r w:rsidR="006566EB" w:rsidRPr="003C7F8A">
        <w:rPr>
          <w:sz w:val="28"/>
          <w:szCs w:val="28"/>
        </w:rPr>
        <w:t>Контроль исполнения настоящего распоряжения возложить на заместителя главы Администрации Яковлевского муниципального округа Шилова С.А.</w:t>
      </w:r>
    </w:p>
    <w:p w:rsidR="006566EB" w:rsidRDefault="006566EB" w:rsidP="006566EB">
      <w:pPr>
        <w:pStyle w:val="ab"/>
        <w:spacing w:line="360" w:lineRule="auto"/>
        <w:ind w:left="1143"/>
        <w:jc w:val="both"/>
        <w:rPr>
          <w:sz w:val="28"/>
          <w:szCs w:val="28"/>
        </w:rPr>
      </w:pPr>
    </w:p>
    <w:p w:rsidR="00EC33CE" w:rsidRPr="00EC33CE" w:rsidRDefault="00EC33CE" w:rsidP="00EC33CE">
      <w:pPr>
        <w:pStyle w:val="ab"/>
        <w:spacing w:line="360" w:lineRule="auto"/>
        <w:ind w:left="1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3CE" w:rsidRDefault="00EC33CE" w:rsidP="00EC33CE">
      <w:pPr>
        <w:pStyle w:val="ab"/>
        <w:spacing w:line="360" w:lineRule="auto"/>
        <w:ind w:left="1143"/>
        <w:jc w:val="both"/>
        <w:rPr>
          <w:sz w:val="28"/>
          <w:szCs w:val="28"/>
        </w:rPr>
      </w:pPr>
    </w:p>
    <w:p w:rsidR="00037DEB" w:rsidRDefault="00037DEB" w:rsidP="00037DEB">
      <w:pPr>
        <w:jc w:val="both"/>
        <w:rPr>
          <w:sz w:val="28"/>
          <w:szCs w:val="28"/>
        </w:rPr>
      </w:pPr>
    </w:p>
    <w:p w:rsidR="00037DEB" w:rsidRPr="00ED4F11" w:rsidRDefault="00037DEB" w:rsidP="00037DEB">
      <w:pPr>
        <w:jc w:val="both"/>
        <w:rPr>
          <w:sz w:val="28"/>
          <w:szCs w:val="28"/>
        </w:rPr>
      </w:pPr>
    </w:p>
    <w:p w:rsidR="00037DEB" w:rsidRDefault="00362FB4" w:rsidP="00037DEB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37DEB" w:rsidRPr="00ED4F1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37DEB" w:rsidRPr="00ED4F11">
        <w:rPr>
          <w:sz w:val="28"/>
          <w:szCs w:val="28"/>
        </w:rPr>
        <w:t xml:space="preserve"> Яковлевского </w:t>
      </w:r>
    </w:p>
    <w:p w:rsidR="00037DEB" w:rsidRPr="00ED4F11" w:rsidRDefault="00037DEB" w:rsidP="00037DEB">
      <w:r w:rsidRPr="00ED4F1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ED4F11">
        <w:rPr>
          <w:sz w:val="28"/>
          <w:szCs w:val="28"/>
        </w:rPr>
        <w:t xml:space="preserve">              </w:t>
      </w:r>
      <w:r w:rsidRPr="00ED4F11">
        <w:rPr>
          <w:sz w:val="28"/>
          <w:szCs w:val="28"/>
        </w:rPr>
        <w:tab/>
      </w:r>
      <w:r w:rsidRPr="00ED4F1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Pr="00ED4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362FB4">
        <w:rPr>
          <w:sz w:val="28"/>
          <w:szCs w:val="28"/>
        </w:rPr>
        <w:t>Е.Г. Подложнюк</w:t>
      </w:r>
    </w:p>
    <w:p w:rsidR="00F056F6" w:rsidRDefault="00F056F6"/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B35388" w:rsidRDefault="00B35388"/>
    <w:p w:rsidR="00B35388" w:rsidRDefault="00B35388"/>
    <w:p w:rsidR="00B35388" w:rsidRDefault="00B35388"/>
    <w:p w:rsidR="00B35388" w:rsidRDefault="00B35388"/>
    <w:p w:rsidR="00B35388" w:rsidRDefault="00B35388"/>
    <w:p w:rsidR="00B35388" w:rsidRDefault="00B35388"/>
    <w:p w:rsidR="00B35388" w:rsidRDefault="00B35388"/>
    <w:p w:rsidR="00B35388" w:rsidRDefault="00B35388"/>
    <w:p w:rsidR="003C7F8A" w:rsidRDefault="003C7F8A"/>
    <w:p w:rsidR="003C7F8A" w:rsidRDefault="003C7F8A"/>
    <w:p w:rsidR="003C7F8A" w:rsidRDefault="003C7F8A"/>
    <w:p w:rsidR="003C7F8A" w:rsidRDefault="003C7F8A"/>
    <w:p w:rsidR="003C7F8A" w:rsidRDefault="003C7F8A"/>
    <w:p w:rsidR="003C7F8A" w:rsidRDefault="003C7F8A"/>
    <w:p w:rsidR="003C7F8A" w:rsidRDefault="003C7F8A"/>
    <w:p w:rsidR="003C7F8A" w:rsidRDefault="003C7F8A"/>
    <w:p w:rsidR="003C7F8A" w:rsidRDefault="003C7F8A"/>
    <w:p w:rsidR="003C7F8A" w:rsidRDefault="003C7F8A"/>
    <w:p w:rsidR="003C7F8A" w:rsidRDefault="003C7F8A"/>
    <w:p w:rsidR="003C7F8A" w:rsidRDefault="003C7F8A"/>
    <w:p w:rsidR="003C7F8A" w:rsidRDefault="003C7F8A"/>
    <w:p w:rsidR="003C7F8A" w:rsidRDefault="003C7F8A"/>
    <w:p w:rsidR="003C7F8A" w:rsidRDefault="003C7F8A"/>
    <w:p w:rsidR="003C7F8A" w:rsidRDefault="003C7F8A"/>
    <w:p w:rsidR="0083669F" w:rsidRDefault="0083669F"/>
    <w:p w:rsidR="00B35388" w:rsidRDefault="00B35388" w:rsidP="00362FB4">
      <w:pPr>
        <w:tabs>
          <w:tab w:val="left" w:pos="7050"/>
        </w:tabs>
      </w:pPr>
    </w:p>
    <w:sectPr w:rsidR="00B35388" w:rsidSect="004C6508">
      <w:headerReference w:type="even" r:id="rId9"/>
      <w:footerReference w:type="even" r:id="rId10"/>
      <w:footerReference w:type="first" r:id="rId11"/>
      <w:pgSz w:w="11907" w:h="16840" w:code="9"/>
      <w:pgMar w:top="993" w:right="851" w:bottom="993" w:left="1418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3F" w:rsidRDefault="003E043F">
      <w:r>
        <w:separator/>
      </w:r>
    </w:p>
  </w:endnote>
  <w:endnote w:type="continuationSeparator" w:id="0">
    <w:p w:rsidR="003E043F" w:rsidRDefault="003E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11" w:rsidRDefault="002936F1" w:rsidP="001066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F11" w:rsidRDefault="00EB348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11" w:rsidRDefault="00EB348A" w:rsidP="00106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3F" w:rsidRDefault="003E043F">
      <w:r>
        <w:separator/>
      </w:r>
    </w:p>
  </w:footnote>
  <w:footnote w:type="continuationSeparator" w:id="0">
    <w:p w:rsidR="003E043F" w:rsidRDefault="003E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11" w:rsidRDefault="002936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F11" w:rsidRDefault="00EB34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EA3"/>
    <w:multiLevelType w:val="hybridMultilevel"/>
    <w:tmpl w:val="D2EAECD2"/>
    <w:lvl w:ilvl="0" w:tplc="04FA5B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04095D"/>
    <w:multiLevelType w:val="multilevel"/>
    <w:tmpl w:val="62F25212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73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3" w:hanging="2160"/>
      </w:pPr>
      <w:rPr>
        <w:rFonts w:hint="default"/>
      </w:rPr>
    </w:lvl>
  </w:abstractNum>
  <w:abstractNum w:abstractNumId="2">
    <w:nsid w:val="611C47AD"/>
    <w:multiLevelType w:val="multilevel"/>
    <w:tmpl w:val="62F25212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73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3" w:hanging="2160"/>
      </w:pPr>
      <w:rPr>
        <w:rFonts w:hint="default"/>
      </w:rPr>
    </w:lvl>
  </w:abstractNum>
  <w:abstractNum w:abstractNumId="3">
    <w:nsid w:val="7520265D"/>
    <w:multiLevelType w:val="hybridMultilevel"/>
    <w:tmpl w:val="127A3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EB"/>
    <w:rsid w:val="00037DEB"/>
    <w:rsid w:val="00263F5F"/>
    <w:rsid w:val="002936F1"/>
    <w:rsid w:val="002C00EF"/>
    <w:rsid w:val="00362FB4"/>
    <w:rsid w:val="003C7F8A"/>
    <w:rsid w:val="003E043F"/>
    <w:rsid w:val="004C6508"/>
    <w:rsid w:val="00585B92"/>
    <w:rsid w:val="00591580"/>
    <w:rsid w:val="00600227"/>
    <w:rsid w:val="006566EB"/>
    <w:rsid w:val="006A7BD1"/>
    <w:rsid w:val="0083669F"/>
    <w:rsid w:val="00AE5DF1"/>
    <w:rsid w:val="00B35388"/>
    <w:rsid w:val="00EB348A"/>
    <w:rsid w:val="00EC33CE"/>
    <w:rsid w:val="00F056F6"/>
    <w:rsid w:val="00F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7D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7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037DE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7D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D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3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C3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7D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7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037DE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7D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D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3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C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</dc:creator>
  <cp:lastModifiedBy>Lunina_NS</cp:lastModifiedBy>
  <cp:revision>11</cp:revision>
  <cp:lastPrinted>2024-04-01T01:40:00Z</cp:lastPrinted>
  <dcterms:created xsi:type="dcterms:W3CDTF">2024-03-28T04:28:00Z</dcterms:created>
  <dcterms:modified xsi:type="dcterms:W3CDTF">2024-04-01T05:50:00Z</dcterms:modified>
</cp:coreProperties>
</file>