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6E244" w14:textId="77777777" w:rsidR="00597726" w:rsidRPr="00A72F95" w:rsidRDefault="00597726" w:rsidP="00A72F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2F95">
        <w:rPr>
          <w:rFonts w:ascii="Times New Roman" w:hAnsi="Times New Roman" w:cs="Times New Roman"/>
        </w:rPr>
        <w:t>Утвержден</w:t>
      </w:r>
    </w:p>
    <w:p w14:paraId="58230CCA" w14:textId="77777777" w:rsidR="00597726" w:rsidRPr="00A72F95" w:rsidRDefault="00746DD6" w:rsidP="0059772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97726" w:rsidRPr="00A72F95">
        <w:rPr>
          <w:rFonts w:ascii="Times New Roman" w:hAnsi="Times New Roman" w:cs="Times New Roman"/>
        </w:rPr>
        <w:t xml:space="preserve">риказом </w:t>
      </w:r>
      <w:r w:rsidR="001F6011" w:rsidRPr="00A72F95">
        <w:rPr>
          <w:rFonts w:ascii="Times New Roman" w:hAnsi="Times New Roman" w:cs="Times New Roman"/>
        </w:rPr>
        <w:t>ф</w:t>
      </w:r>
      <w:r w:rsidR="00597726" w:rsidRPr="00A72F95">
        <w:rPr>
          <w:rFonts w:ascii="Times New Roman" w:hAnsi="Times New Roman" w:cs="Times New Roman"/>
        </w:rPr>
        <w:t>инансового управления</w:t>
      </w:r>
    </w:p>
    <w:p w14:paraId="53AE832A" w14:textId="335A2DF6" w:rsidR="00597726" w:rsidRPr="00480F48" w:rsidRDefault="00597726" w:rsidP="00597726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A72F95">
        <w:rPr>
          <w:rFonts w:ascii="Times New Roman" w:hAnsi="Times New Roman" w:cs="Times New Roman"/>
        </w:rPr>
        <w:t xml:space="preserve">от </w:t>
      </w:r>
      <w:r w:rsidR="00E0510F" w:rsidRPr="00A72F95">
        <w:rPr>
          <w:rFonts w:ascii="Times New Roman" w:hAnsi="Times New Roman" w:cs="Times New Roman"/>
        </w:rPr>
        <w:t xml:space="preserve"> </w:t>
      </w:r>
      <w:r w:rsidR="00B73128">
        <w:rPr>
          <w:rFonts w:ascii="Times New Roman" w:hAnsi="Times New Roman" w:cs="Times New Roman"/>
        </w:rPr>
        <w:t>2</w:t>
      </w:r>
      <w:r w:rsidR="00480F48" w:rsidRPr="00480F48">
        <w:rPr>
          <w:rFonts w:ascii="Times New Roman" w:hAnsi="Times New Roman" w:cs="Times New Roman"/>
        </w:rPr>
        <w:t>7</w:t>
      </w:r>
      <w:r w:rsidR="00E0510F" w:rsidRPr="00A72F95">
        <w:rPr>
          <w:rFonts w:ascii="Times New Roman" w:hAnsi="Times New Roman" w:cs="Times New Roman"/>
        </w:rPr>
        <w:t>.1</w:t>
      </w:r>
      <w:r w:rsidR="00507185" w:rsidRPr="00507185">
        <w:rPr>
          <w:rFonts w:ascii="Times New Roman" w:hAnsi="Times New Roman" w:cs="Times New Roman"/>
        </w:rPr>
        <w:t>2</w:t>
      </w:r>
      <w:r w:rsidR="00E0510F" w:rsidRPr="00A72F95">
        <w:rPr>
          <w:rFonts w:ascii="Times New Roman" w:hAnsi="Times New Roman" w:cs="Times New Roman"/>
        </w:rPr>
        <w:t>.</w:t>
      </w:r>
      <w:r w:rsidRPr="00A72F95">
        <w:rPr>
          <w:rFonts w:ascii="Times New Roman" w:hAnsi="Times New Roman" w:cs="Times New Roman"/>
        </w:rPr>
        <w:t>20</w:t>
      </w:r>
      <w:r w:rsidR="00507185" w:rsidRPr="00507185">
        <w:rPr>
          <w:rFonts w:ascii="Times New Roman" w:hAnsi="Times New Roman" w:cs="Times New Roman"/>
        </w:rPr>
        <w:t>2</w:t>
      </w:r>
      <w:r w:rsidR="00B73128">
        <w:rPr>
          <w:rFonts w:ascii="Times New Roman" w:hAnsi="Times New Roman" w:cs="Times New Roman"/>
        </w:rPr>
        <w:t>4</w:t>
      </w:r>
      <w:r w:rsidRPr="00A72F95">
        <w:rPr>
          <w:rFonts w:ascii="Times New Roman" w:hAnsi="Times New Roman" w:cs="Times New Roman"/>
        </w:rPr>
        <w:t xml:space="preserve"> №</w:t>
      </w:r>
      <w:r w:rsidR="00A72F95" w:rsidRPr="00A72F95">
        <w:rPr>
          <w:rFonts w:ascii="Times New Roman" w:hAnsi="Times New Roman" w:cs="Times New Roman"/>
        </w:rPr>
        <w:t xml:space="preserve"> </w:t>
      </w:r>
      <w:r w:rsidR="00480F48">
        <w:rPr>
          <w:rFonts w:ascii="Times New Roman" w:hAnsi="Times New Roman" w:cs="Times New Roman"/>
          <w:lang w:val="en-US"/>
        </w:rPr>
        <w:t>54</w:t>
      </w:r>
    </w:p>
    <w:p w14:paraId="68EABDAB" w14:textId="77777777" w:rsidR="008C6421" w:rsidRPr="00A72F95" w:rsidRDefault="008C6421" w:rsidP="0059772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07B3A0B" w14:textId="77777777" w:rsidR="008C6421" w:rsidRPr="00A72F95" w:rsidRDefault="008C6421" w:rsidP="0059772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26E6134" w14:textId="77777777" w:rsidR="008C6421" w:rsidRPr="00C540CA" w:rsidRDefault="008C6421" w:rsidP="008C64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0CA">
        <w:rPr>
          <w:rFonts w:ascii="Times New Roman" w:hAnsi="Times New Roman" w:cs="Times New Roman"/>
          <w:b/>
          <w:sz w:val="26"/>
          <w:szCs w:val="26"/>
        </w:rPr>
        <w:t>ПОРЯДОК</w:t>
      </w:r>
    </w:p>
    <w:p w14:paraId="3F940459" w14:textId="63E3D186" w:rsidR="008C6421" w:rsidRPr="00C540CA" w:rsidRDefault="001F6011" w:rsidP="008C64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0CA">
        <w:rPr>
          <w:rFonts w:ascii="Times New Roman" w:hAnsi="Times New Roman" w:cs="Times New Roman"/>
          <w:b/>
          <w:sz w:val="26"/>
          <w:szCs w:val="26"/>
        </w:rPr>
        <w:t xml:space="preserve">применения бюджетной классификации Российской Федерации в части, относящейся к бюджету Яковлевского муниципального </w:t>
      </w:r>
      <w:r w:rsidR="00B73128">
        <w:rPr>
          <w:rFonts w:ascii="Times New Roman" w:hAnsi="Times New Roman" w:cs="Times New Roman"/>
          <w:b/>
          <w:sz w:val="26"/>
          <w:szCs w:val="26"/>
        </w:rPr>
        <w:t>округа</w:t>
      </w:r>
      <w:r w:rsidR="00507185" w:rsidRPr="00C540CA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480F48" w:rsidRPr="00480F48">
        <w:rPr>
          <w:rFonts w:ascii="Times New Roman" w:hAnsi="Times New Roman" w:cs="Times New Roman"/>
          <w:b/>
          <w:sz w:val="26"/>
          <w:szCs w:val="26"/>
        </w:rPr>
        <w:t>5</w:t>
      </w:r>
      <w:r w:rsidR="00507185" w:rsidRPr="00C540CA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 w:rsidR="00480F48" w:rsidRPr="00480F48">
        <w:rPr>
          <w:rFonts w:ascii="Times New Roman" w:hAnsi="Times New Roman" w:cs="Times New Roman"/>
          <w:b/>
          <w:sz w:val="26"/>
          <w:szCs w:val="26"/>
        </w:rPr>
        <w:t>6</w:t>
      </w:r>
      <w:r w:rsidR="00507185" w:rsidRPr="00C540CA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480F48" w:rsidRPr="00480F48">
        <w:rPr>
          <w:rFonts w:ascii="Times New Roman" w:hAnsi="Times New Roman" w:cs="Times New Roman"/>
          <w:b/>
          <w:sz w:val="26"/>
          <w:szCs w:val="26"/>
        </w:rPr>
        <w:t>7</w:t>
      </w:r>
      <w:bookmarkStart w:id="0" w:name="_GoBack"/>
      <w:bookmarkEnd w:id="0"/>
      <w:r w:rsidR="00507185" w:rsidRPr="00C540CA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14:paraId="2C7798DC" w14:textId="77777777" w:rsidR="00995A95" w:rsidRPr="00C540CA" w:rsidRDefault="00995A95" w:rsidP="008C64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2FF130" w14:textId="77777777" w:rsidR="009D5AB6" w:rsidRPr="00C540CA" w:rsidRDefault="009D5AB6" w:rsidP="009D5AB6">
      <w:pPr>
        <w:pStyle w:val="a3"/>
        <w:numPr>
          <w:ilvl w:val="0"/>
          <w:numId w:val="2"/>
        </w:numPr>
        <w:spacing w:after="0" w:line="240" w:lineRule="auto"/>
        <w:ind w:left="0" w:firstLine="6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0CA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614479EE" w14:textId="77777777" w:rsidR="009D5AB6" w:rsidRDefault="009D5AB6" w:rsidP="009D5AB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0681D9" w14:textId="77777777" w:rsidR="001F6011" w:rsidRPr="00C540CA" w:rsidRDefault="009D5AB6" w:rsidP="009D5AB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F6011" w:rsidRPr="00C540CA">
        <w:rPr>
          <w:rFonts w:ascii="Times New Roman" w:hAnsi="Times New Roman" w:cs="Times New Roman"/>
          <w:sz w:val="26"/>
          <w:szCs w:val="26"/>
        </w:rPr>
        <w:t>Настоящий Порядок определяет коды</w:t>
      </w:r>
      <w:r w:rsidR="0006215A" w:rsidRPr="00C540CA">
        <w:rPr>
          <w:rFonts w:ascii="Times New Roman" w:hAnsi="Times New Roman" w:cs="Times New Roman"/>
          <w:sz w:val="26"/>
          <w:szCs w:val="26"/>
        </w:rPr>
        <w:t xml:space="preserve"> главных </w:t>
      </w:r>
      <w:r w:rsidR="00E81C76" w:rsidRPr="00C540CA">
        <w:rPr>
          <w:rFonts w:ascii="Times New Roman" w:hAnsi="Times New Roman" w:cs="Times New Roman"/>
          <w:sz w:val="26"/>
          <w:szCs w:val="26"/>
        </w:rPr>
        <w:t>администраторов доходов  бюджета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(приложение №1)</w:t>
      </w:r>
      <w:r w:rsidR="00E81C76" w:rsidRPr="00C540CA">
        <w:rPr>
          <w:rFonts w:ascii="Times New Roman" w:hAnsi="Times New Roman" w:cs="Times New Roman"/>
          <w:sz w:val="26"/>
          <w:szCs w:val="26"/>
        </w:rPr>
        <w:t>, структуру, перечень и коды целевых статей бюджета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E81C76" w:rsidRPr="00C540CA">
        <w:rPr>
          <w:rFonts w:ascii="Times New Roman" w:hAnsi="Times New Roman" w:cs="Times New Roman"/>
          <w:sz w:val="26"/>
          <w:szCs w:val="26"/>
        </w:rPr>
        <w:t>, а также порядок применения целевых статей  бюджета Яковлевского муниципального</w:t>
      </w:r>
      <w:r w:rsidR="00025BC5" w:rsidRPr="00C540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="00E81C76" w:rsidRPr="00C540CA">
        <w:rPr>
          <w:rFonts w:ascii="Times New Roman" w:hAnsi="Times New Roman" w:cs="Times New Roman"/>
          <w:sz w:val="26"/>
          <w:szCs w:val="26"/>
        </w:rPr>
        <w:t>.</w:t>
      </w:r>
    </w:p>
    <w:p w14:paraId="63B018E7" w14:textId="77777777" w:rsidR="009D5AB6" w:rsidRDefault="009D5AB6" w:rsidP="006735BC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A35A4">
        <w:rPr>
          <w:rFonts w:ascii="Times New Roman" w:hAnsi="Times New Roman" w:cs="Times New Roman"/>
          <w:sz w:val="26"/>
          <w:szCs w:val="26"/>
        </w:rPr>
        <w:t xml:space="preserve"> Перечень и коды целевых статей расходов бюджета муниципального округа, финансовое обеспечение которых осуществляется за счет целевых межбюджетных трансфертов из федерального бюджета, формируются финансовым органом Яковлевского муниципального округа самостоятельно в соответствии с расходными обязательствами округа и с учетом положений приказа Министерства финансов Российской Федерации от 24 мая 2022 года 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7D4C6C">
        <w:rPr>
          <w:rFonts w:ascii="Times New Roman" w:hAnsi="Times New Roman" w:cs="Times New Roman"/>
          <w:sz w:val="26"/>
          <w:szCs w:val="26"/>
        </w:rPr>
        <w:t xml:space="preserve"> и настоящего Порядка.</w:t>
      </w:r>
    </w:p>
    <w:p w14:paraId="75B84329" w14:textId="77777777" w:rsidR="00A1243E" w:rsidRPr="00C540CA" w:rsidRDefault="009D5AB6" w:rsidP="006735BC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A35A4">
        <w:rPr>
          <w:rFonts w:ascii="Times New Roman" w:hAnsi="Times New Roman" w:cs="Times New Roman"/>
          <w:sz w:val="26"/>
          <w:szCs w:val="26"/>
        </w:rPr>
        <w:t>Ц</w:t>
      </w:r>
      <w:r w:rsidR="002546FF" w:rsidRPr="00C540CA">
        <w:rPr>
          <w:rFonts w:ascii="Times New Roman" w:hAnsi="Times New Roman" w:cs="Times New Roman"/>
          <w:sz w:val="26"/>
          <w:szCs w:val="26"/>
        </w:rPr>
        <w:t>елевы</w:t>
      </w:r>
      <w:r w:rsidR="008A35A4">
        <w:rPr>
          <w:rFonts w:ascii="Times New Roman" w:hAnsi="Times New Roman" w:cs="Times New Roman"/>
          <w:sz w:val="26"/>
          <w:szCs w:val="26"/>
        </w:rPr>
        <w:t>е</w:t>
      </w:r>
      <w:r w:rsidR="002546FF" w:rsidRPr="00C540CA">
        <w:rPr>
          <w:rFonts w:ascii="Times New Roman" w:hAnsi="Times New Roman" w:cs="Times New Roman"/>
          <w:sz w:val="26"/>
          <w:szCs w:val="26"/>
        </w:rPr>
        <w:t xml:space="preserve"> стат</w:t>
      </w:r>
      <w:r w:rsidR="003645FB">
        <w:rPr>
          <w:rFonts w:ascii="Times New Roman" w:hAnsi="Times New Roman" w:cs="Times New Roman"/>
          <w:sz w:val="26"/>
          <w:szCs w:val="26"/>
        </w:rPr>
        <w:t>ьи</w:t>
      </w:r>
      <w:r w:rsidR="002546FF" w:rsidRPr="00C540CA">
        <w:rPr>
          <w:rFonts w:ascii="Times New Roman" w:hAnsi="Times New Roman" w:cs="Times New Roman"/>
          <w:sz w:val="26"/>
          <w:szCs w:val="26"/>
        </w:rPr>
        <w:t xml:space="preserve"> расходов бюджета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2546FF" w:rsidRPr="00C540CA">
        <w:rPr>
          <w:rFonts w:ascii="Times New Roman" w:hAnsi="Times New Roman" w:cs="Times New Roman"/>
          <w:sz w:val="26"/>
          <w:szCs w:val="26"/>
        </w:rPr>
        <w:t xml:space="preserve"> обеспечивают привязку бюджетных ассигнований бюджета</w:t>
      </w:r>
      <w:r w:rsidR="003645FB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2546FF" w:rsidRPr="00C540CA">
        <w:rPr>
          <w:rFonts w:ascii="Times New Roman" w:hAnsi="Times New Roman" w:cs="Times New Roman"/>
          <w:sz w:val="26"/>
          <w:szCs w:val="26"/>
        </w:rPr>
        <w:t xml:space="preserve"> к муниципальным программам </w:t>
      </w:r>
      <w:r w:rsidR="00A5785D" w:rsidRPr="00C540CA">
        <w:rPr>
          <w:rFonts w:ascii="Times New Roman" w:hAnsi="Times New Roman" w:cs="Times New Roman"/>
          <w:sz w:val="26"/>
          <w:szCs w:val="26"/>
        </w:rPr>
        <w:t xml:space="preserve">Яковлевского муниципального </w:t>
      </w:r>
      <w:r w:rsidR="003645FB">
        <w:rPr>
          <w:rFonts w:ascii="Times New Roman" w:hAnsi="Times New Roman" w:cs="Times New Roman"/>
          <w:sz w:val="26"/>
          <w:szCs w:val="26"/>
        </w:rPr>
        <w:t>округа, и (или) не включенным в муниципальные программы Яковлевского муниципального округа направлениям деятельности органов местного самоуправления</w:t>
      </w:r>
      <w:r w:rsidR="00D90432">
        <w:rPr>
          <w:rFonts w:ascii="Times New Roman" w:hAnsi="Times New Roman" w:cs="Times New Roman"/>
          <w:sz w:val="26"/>
          <w:szCs w:val="26"/>
        </w:rPr>
        <w:t xml:space="preserve"> Яковлевского муниципального округа.</w:t>
      </w:r>
    </w:p>
    <w:p w14:paraId="38F575A7" w14:textId="77777777" w:rsidR="008E7597" w:rsidRPr="00C540CA" w:rsidRDefault="00A1243E" w:rsidP="006735BC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C540CA">
        <w:rPr>
          <w:rFonts w:ascii="Times New Roman" w:hAnsi="Times New Roman" w:cs="Times New Roman"/>
          <w:sz w:val="26"/>
          <w:szCs w:val="26"/>
        </w:rPr>
        <w:t>Структура кода целевой статьи расходов бюджета</w:t>
      </w:r>
      <w:r w:rsidR="00D90432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705061" w:rsidRPr="00C540CA">
        <w:rPr>
          <w:rFonts w:ascii="Times New Roman" w:hAnsi="Times New Roman" w:cs="Times New Roman"/>
          <w:sz w:val="26"/>
          <w:szCs w:val="26"/>
        </w:rPr>
        <w:t xml:space="preserve"> состоит из десяти разрядов и включает в себя следующие составные части</w:t>
      </w:r>
      <w:r w:rsidR="00D16A28" w:rsidRPr="00C540CA">
        <w:rPr>
          <w:rFonts w:ascii="Times New Roman" w:hAnsi="Times New Roman" w:cs="Times New Roman"/>
          <w:sz w:val="26"/>
          <w:szCs w:val="26"/>
        </w:rPr>
        <w:t xml:space="preserve"> (таблица 1)</w:t>
      </w:r>
      <w:r w:rsidR="00705061" w:rsidRPr="00C540CA">
        <w:rPr>
          <w:rFonts w:ascii="Times New Roman" w:hAnsi="Times New Roman" w:cs="Times New Roman"/>
          <w:sz w:val="26"/>
          <w:szCs w:val="26"/>
        </w:rPr>
        <w:t>:</w:t>
      </w:r>
    </w:p>
    <w:p w14:paraId="3BAF67F4" w14:textId="77777777" w:rsidR="008E7597" w:rsidRPr="00C540CA" w:rsidRDefault="007C1004" w:rsidP="007C1004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C540CA">
        <w:rPr>
          <w:rFonts w:ascii="Times New Roman" w:hAnsi="Times New Roman" w:cs="Times New Roman"/>
          <w:sz w:val="26"/>
          <w:szCs w:val="26"/>
        </w:rPr>
        <w:t>к</w:t>
      </w:r>
      <w:r w:rsidR="008E7597" w:rsidRPr="00C540CA">
        <w:rPr>
          <w:rFonts w:ascii="Times New Roman" w:hAnsi="Times New Roman" w:cs="Times New Roman"/>
          <w:sz w:val="26"/>
          <w:szCs w:val="26"/>
        </w:rPr>
        <w:t xml:space="preserve">од программного (непрограммного) направления расходов (8 – </w:t>
      </w:r>
      <w:r w:rsidR="001F183A" w:rsidRPr="00C540CA">
        <w:rPr>
          <w:rFonts w:ascii="Times New Roman" w:hAnsi="Times New Roman" w:cs="Times New Roman"/>
          <w:sz w:val="26"/>
          <w:szCs w:val="26"/>
        </w:rPr>
        <w:t>9</w:t>
      </w:r>
      <w:r w:rsidR="008E7597" w:rsidRPr="00C540CA">
        <w:rPr>
          <w:rFonts w:ascii="Times New Roman" w:hAnsi="Times New Roman" w:cs="Times New Roman"/>
          <w:sz w:val="26"/>
          <w:szCs w:val="26"/>
        </w:rPr>
        <w:t xml:space="preserve"> разряды кода классификации расходов) предназначен для кодирования муниципальных программ Яковлевского муниципального </w:t>
      </w:r>
      <w:r w:rsidR="00D90432">
        <w:rPr>
          <w:rFonts w:ascii="Times New Roman" w:hAnsi="Times New Roman" w:cs="Times New Roman"/>
          <w:sz w:val="26"/>
          <w:szCs w:val="26"/>
        </w:rPr>
        <w:t>округ</w:t>
      </w:r>
      <w:r w:rsidR="008E7597" w:rsidRPr="00C540CA">
        <w:rPr>
          <w:rFonts w:ascii="Times New Roman" w:hAnsi="Times New Roman" w:cs="Times New Roman"/>
          <w:sz w:val="26"/>
          <w:szCs w:val="26"/>
        </w:rPr>
        <w:t xml:space="preserve">а, непрограммных направлений </w:t>
      </w:r>
      <w:r w:rsidR="008E7597" w:rsidRPr="00C540CA">
        <w:rPr>
          <w:rFonts w:ascii="Times New Roman" w:hAnsi="Times New Roman" w:cs="Times New Roman"/>
          <w:sz w:val="26"/>
          <w:szCs w:val="26"/>
        </w:rPr>
        <w:lastRenderedPageBreak/>
        <w:t xml:space="preserve">деятельности органов местного самоуправления Яковлевского муниципального </w:t>
      </w:r>
      <w:r w:rsidR="00D90432">
        <w:rPr>
          <w:rFonts w:ascii="Times New Roman" w:hAnsi="Times New Roman" w:cs="Times New Roman"/>
          <w:sz w:val="26"/>
          <w:szCs w:val="26"/>
        </w:rPr>
        <w:t>округа</w:t>
      </w:r>
      <w:r w:rsidR="008E7597" w:rsidRPr="00C540CA">
        <w:rPr>
          <w:rFonts w:ascii="Times New Roman" w:hAnsi="Times New Roman" w:cs="Times New Roman"/>
          <w:sz w:val="26"/>
          <w:szCs w:val="26"/>
        </w:rPr>
        <w:t>;</w:t>
      </w:r>
    </w:p>
    <w:p w14:paraId="5333BEC7" w14:textId="77777777" w:rsidR="008E7597" w:rsidRPr="00C540CA" w:rsidRDefault="008E7597" w:rsidP="007C1004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C540CA">
        <w:rPr>
          <w:rFonts w:ascii="Times New Roman" w:hAnsi="Times New Roman" w:cs="Times New Roman"/>
          <w:sz w:val="26"/>
          <w:szCs w:val="26"/>
        </w:rPr>
        <w:t>код подпрограммы</w:t>
      </w:r>
      <w:r w:rsidR="007C1004" w:rsidRPr="00C540CA">
        <w:rPr>
          <w:rFonts w:ascii="Times New Roman" w:hAnsi="Times New Roman" w:cs="Times New Roman"/>
          <w:sz w:val="26"/>
          <w:szCs w:val="26"/>
        </w:rPr>
        <w:t xml:space="preserve"> (непрограммного направления расходов)</w:t>
      </w:r>
      <w:r w:rsidRPr="00C540CA">
        <w:rPr>
          <w:rFonts w:ascii="Times New Roman" w:hAnsi="Times New Roman" w:cs="Times New Roman"/>
          <w:sz w:val="26"/>
          <w:szCs w:val="26"/>
        </w:rPr>
        <w:t xml:space="preserve"> (10 разряд кода классификации расходов) предназначен для кодирования подпрограмм муниципальных программ Яковлевского муниципального </w:t>
      </w:r>
      <w:r w:rsidR="00D90432">
        <w:rPr>
          <w:rFonts w:ascii="Times New Roman" w:hAnsi="Times New Roman" w:cs="Times New Roman"/>
          <w:sz w:val="26"/>
          <w:szCs w:val="26"/>
        </w:rPr>
        <w:t>округ</w:t>
      </w:r>
      <w:r w:rsidRPr="00C540CA">
        <w:rPr>
          <w:rFonts w:ascii="Times New Roman" w:hAnsi="Times New Roman" w:cs="Times New Roman"/>
          <w:sz w:val="26"/>
          <w:szCs w:val="26"/>
        </w:rPr>
        <w:t xml:space="preserve">а и непрограммных направлений деятельности органов местного самоуправления Яковлевского муниципального </w:t>
      </w:r>
      <w:r w:rsidR="00D90432">
        <w:rPr>
          <w:rFonts w:ascii="Times New Roman" w:hAnsi="Times New Roman" w:cs="Times New Roman"/>
          <w:sz w:val="26"/>
          <w:szCs w:val="26"/>
        </w:rPr>
        <w:t>округа</w:t>
      </w:r>
      <w:r w:rsidRPr="00C540CA">
        <w:rPr>
          <w:rFonts w:ascii="Times New Roman" w:hAnsi="Times New Roman" w:cs="Times New Roman"/>
          <w:sz w:val="26"/>
          <w:szCs w:val="26"/>
        </w:rPr>
        <w:t>;</w:t>
      </w:r>
    </w:p>
    <w:p w14:paraId="032AA88C" w14:textId="77777777" w:rsidR="008E7597" w:rsidRPr="00C540CA" w:rsidRDefault="008E7597" w:rsidP="007C1004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C540CA">
        <w:rPr>
          <w:rFonts w:ascii="Times New Roman" w:hAnsi="Times New Roman" w:cs="Times New Roman"/>
          <w:sz w:val="26"/>
          <w:szCs w:val="26"/>
        </w:rPr>
        <w:t>код основного мероприятия</w:t>
      </w:r>
      <w:r w:rsidR="007C1004" w:rsidRPr="00C540CA">
        <w:rPr>
          <w:rFonts w:ascii="Times New Roman" w:hAnsi="Times New Roman" w:cs="Times New Roman"/>
          <w:sz w:val="26"/>
          <w:szCs w:val="26"/>
        </w:rPr>
        <w:t xml:space="preserve"> (непрограммного направления расходов)</w:t>
      </w:r>
      <w:r w:rsidRPr="00C540CA">
        <w:rPr>
          <w:rFonts w:ascii="Times New Roman" w:hAnsi="Times New Roman" w:cs="Times New Roman"/>
          <w:sz w:val="26"/>
          <w:szCs w:val="26"/>
        </w:rPr>
        <w:t xml:space="preserve"> (11 – 12 разряды кода классификации расходов) предназначен для кодирования </w:t>
      </w:r>
      <w:r w:rsidR="007C1004" w:rsidRPr="00C540CA">
        <w:rPr>
          <w:rFonts w:ascii="Times New Roman" w:hAnsi="Times New Roman" w:cs="Times New Roman"/>
          <w:sz w:val="26"/>
          <w:szCs w:val="26"/>
        </w:rPr>
        <w:t xml:space="preserve">основных мероприятий в рамках подпрограмм муниципальных программ Яковлевского муниципального </w:t>
      </w:r>
      <w:r w:rsidR="00D90432">
        <w:rPr>
          <w:rFonts w:ascii="Times New Roman" w:hAnsi="Times New Roman" w:cs="Times New Roman"/>
          <w:sz w:val="26"/>
          <w:szCs w:val="26"/>
        </w:rPr>
        <w:t>округ</w:t>
      </w:r>
      <w:r w:rsidR="007C1004" w:rsidRPr="00C540CA">
        <w:rPr>
          <w:rFonts w:ascii="Times New Roman" w:hAnsi="Times New Roman" w:cs="Times New Roman"/>
          <w:sz w:val="26"/>
          <w:szCs w:val="26"/>
        </w:rPr>
        <w:t xml:space="preserve">а, непрограммных направлений деятельности органов местного самоуправления Яковлевского муниципального </w:t>
      </w:r>
      <w:r w:rsidR="00D90432">
        <w:rPr>
          <w:rFonts w:ascii="Times New Roman" w:hAnsi="Times New Roman" w:cs="Times New Roman"/>
          <w:sz w:val="26"/>
          <w:szCs w:val="26"/>
        </w:rPr>
        <w:t>округ</w:t>
      </w:r>
      <w:r w:rsidR="007C1004" w:rsidRPr="00C540CA">
        <w:rPr>
          <w:rFonts w:ascii="Times New Roman" w:hAnsi="Times New Roman" w:cs="Times New Roman"/>
          <w:sz w:val="26"/>
          <w:szCs w:val="26"/>
        </w:rPr>
        <w:t>а</w:t>
      </w:r>
      <w:r w:rsidRPr="00C540CA">
        <w:rPr>
          <w:rFonts w:ascii="Times New Roman" w:hAnsi="Times New Roman" w:cs="Times New Roman"/>
          <w:sz w:val="26"/>
          <w:szCs w:val="26"/>
        </w:rPr>
        <w:t>;</w:t>
      </w:r>
    </w:p>
    <w:p w14:paraId="1690A494" w14:textId="77777777" w:rsidR="008E7597" w:rsidRPr="00286347" w:rsidRDefault="00920FC0" w:rsidP="00286347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C540CA">
        <w:rPr>
          <w:rFonts w:ascii="Times New Roman" w:hAnsi="Times New Roman" w:cs="Times New Roman"/>
          <w:sz w:val="26"/>
          <w:szCs w:val="26"/>
        </w:rPr>
        <w:t>код направления расходов</w:t>
      </w:r>
      <w:r w:rsidR="007C1004" w:rsidRPr="00C540CA">
        <w:rPr>
          <w:rFonts w:ascii="Times New Roman" w:hAnsi="Times New Roman" w:cs="Times New Roman"/>
          <w:sz w:val="26"/>
          <w:szCs w:val="26"/>
        </w:rPr>
        <w:t xml:space="preserve"> на реализацию программных, непрограммных мероприятий</w:t>
      </w:r>
      <w:r w:rsidRPr="00C540CA">
        <w:rPr>
          <w:rFonts w:ascii="Times New Roman" w:hAnsi="Times New Roman" w:cs="Times New Roman"/>
          <w:sz w:val="26"/>
          <w:szCs w:val="26"/>
        </w:rPr>
        <w:t xml:space="preserve"> (13 – 17 разряды кода классификации расходов) предназначен для кодирования направлений расходования средств</w:t>
      </w:r>
      <w:r w:rsidR="008E323B" w:rsidRPr="00C540CA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D90432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8E323B" w:rsidRPr="00C540CA">
        <w:rPr>
          <w:rFonts w:ascii="Times New Roman" w:hAnsi="Times New Roman" w:cs="Times New Roman"/>
          <w:sz w:val="26"/>
          <w:szCs w:val="26"/>
        </w:rPr>
        <w:t xml:space="preserve"> по соответствующим</w:t>
      </w:r>
      <w:r w:rsidRPr="00C540CA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8E323B" w:rsidRPr="00C540CA">
        <w:rPr>
          <w:rFonts w:ascii="Times New Roman" w:hAnsi="Times New Roman" w:cs="Times New Roman"/>
          <w:sz w:val="26"/>
          <w:szCs w:val="26"/>
        </w:rPr>
        <w:t>м</w:t>
      </w:r>
      <w:r w:rsidRPr="00C540CA">
        <w:rPr>
          <w:rFonts w:ascii="Times New Roman" w:hAnsi="Times New Roman" w:cs="Times New Roman"/>
          <w:sz w:val="26"/>
          <w:szCs w:val="26"/>
        </w:rPr>
        <w:t>.</w:t>
      </w:r>
    </w:p>
    <w:p w14:paraId="46069191" w14:textId="77777777" w:rsidR="008E7597" w:rsidRPr="00C540CA" w:rsidRDefault="008E7597" w:rsidP="008E7597">
      <w:pPr>
        <w:pStyle w:val="a9"/>
        <w:spacing w:line="360" w:lineRule="auto"/>
        <w:ind w:firstLine="709"/>
        <w:jc w:val="right"/>
        <w:rPr>
          <w:szCs w:val="26"/>
        </w:rPr>
      </w:pPr>
      <w:r w:rsidRPr="00C540CA">
        <w:rPr>
          <w:szCs w:val="26"/>
        </w:rPr>
        <w:t>Таблица 1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929"/>
        <w:gridCol w:w="1843"/>
        <w:gridCol w:w="850"/>
        <w:gridCol w:w="993"/>
        <w:gridCol w:w="708"/>
        <w:gridCol w:w="851"/>
        <w:gridCol w:w="850"/>
        <w:gridCol w:w="851"/>
        <w:gridCol w:w="850"/>
      </w:tblGrid>
      <w:tr w:rsidR="008E7597" w:rsidRPr="00C540CA" w14:paraId="1C223386" w14:textId="77777777" w:rsidTr="006656DF">
        <w:trPr>
          <w:cantSplit/>
          <w:trHeight w:val="417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4351" w14:textId="77777777" w:rsidR="008E7597" w:rsidRPr="00C540CA" w:rsidRDefault="008E7597" w:rsidP="006656D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0CA">
              <w:rPr>
                <w:rFonts w:ascii="Times New Roman" w:hAnsi="Times New Roman"/>
                <w:b/>
                <w:sz w:val="24"/>
                <w:szCs w:val="24"/>
              </w:rPr>
              <w:t>Целевая статья</w:t>
            </w:r>
          </w:p>
        </w:tc>
      </w:tr>
      <w:tr w:rsidR="008E7597" w:rsidRPr="00C540CA" w14:paraId="37751852" w14:textId="77777777" w:rsidTr="008E323B">
        <w:trPr>
          <w:cantSplit/>
          <w:trHeight w:val="451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1F5EE3" w14:textId="77777777" w:rsidR="008E7597" w:rsidRPr="00C540CA" w:rsidRDefault="008E7597" w:rsidP="006656DF">
            <w:pPr>
              <w:pStyle w:val="ConsCell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0CA">
              <w:rPr>
                <w:rFonts w:ascii="Times New Roman" w:hAnsi="Times New Roman"/>
                <w:b/>
                <w:sz w:val="24"/>
                <w:szCs w:val="24"/>
              </w:rPr>
              <w:t>Программная целевая статья</w:t>
            </w:r>
          </w:p>
        </w:tc>
        <w:tc>
          <w:tcPr>
            <w:tcW w:w="411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88280C" w14:textId="77777777" w:rsidR="008E7597" w:rsidRPr="00C540CA" w:rsidRDefault="008E7597" w:rsidP="006656DF">
            <w:pPr>
              <w:pStyle w:val="ConsCell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0CA">
              <w:rPr>
                <w:rFonts w:ascii="Times New Roman" w:hAnsi="Times New Roman"/>
                <w:b/>
                <w:sz w:val="24"/>
                <w:szCs w:val="24"/>
              </w:rPr>
              <w:t>Направление расходов</w:t>
            </w:r>
            <w:r w:rsidR="008E323B" w:rsidRPr="00C540CA">
              <w:rPr>
                <w:rFonts w:ascii="Times New Roman" w:hAnsi="Times New Roman"/>
                <w:b/>
                <w:sz w:val="24"/>
                <w:szCs w:val="24"/>
              </w:rPr>
              <w:t xml:space="preserve"> на реализацию программных или непрограммных мероприятий</w:t>
            </w:r>
          </w:p>
        </w:tc>
      </w:tr>
      <w:tr w:rsidR="008E7597" w:rsidRPr="00C540CA" w14:paraId="07CADD8B" w14:textId="77777777" w:rsidTr="008E323B">
        <w:trPr>
          <w:cantSplit/>
          <w:trHeight w:val="103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32D1F7" w14:textId="77777777" w:rsidR="008E7597" w:rsidRPr="00C540CA" w:rsidRDefault="008E7597" w:rsidP="006656D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40CA">
              <w:rPr>
                <w:rFonts w:ascii="Times New Roman" w:hAnsi="Times New Roman"/>
                <w:b/>
                <w:sz w:val="22"/>
                <w:szCs w:val="22"/>
              </w:rPr>
              <w:t>Программное (непрограммное) направление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ADB1D9" w14:textId="77777777" w:rsidR="008E7597" w:rsidRPr="00C540CA" w:rsidRDefault="008E7597" w:rsidP="008E323B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40CA">
              <w:rPr>
                <w:rFonts w:ascii="Times New Roman" w:hAnsi="Times New Roman"/>
                <w:b/>
                <w:sz w:val="22"/>
                <w:szCs w:val="22"/>
              </w:rPr>
              <w:t>Подпрограмма (</w:t>
            </w:r>
            <w:r w:rsidR="008E323B" w:rsidRPr="00C540CA">
              <w:rPr>
                <w:rFonts w:ascii="Times New Roman" w:hAnsi="Times New Roman"/>
                <w:b/>
                <w:sz w:val="22"/>
                <w:szCs w:val="22"/>
              </w:rPr>
              <w:t>непрограммное направление расходов</w:t>
            </w:r>
            <w:r w:rsidRPr="00C540CA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8C7F64" w14:textId="77777777" w:rsidR="008E7597" w:rsidRPr="00C540CA" w:rsidRDefault="008E7597" w:rsidP="006656D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40CA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</w:t>
            </w:r>
            <w:r w:rsidR="008E323B" w:rsidRPr="00C540CA">
              <w:rPr>
                <w:rFonts w:ascii="Times New Roman" w:hAnsi="Times New Roman"/>
                <w:b/>
                <w:sz w:val="22"/>
                <w:szCs w:val="22"/>
              </w:rPr>
              <w:t xml:space="preserve"> (непрограммное направление расходов)</w:t>
            </w:r>
          </w:p>
        </w:tc>
        <w:tc>
          <w:tcPr>
            <w:tcW w:w="4110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FFE397" w14:textId="77777777" w:rsidR="008E7597" w:rsidRPr="00C540CA" w:rsidRDefault="008E7597" w:rsidP="006656D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597" w:rsidRPr="00C540CA" w14:paraId="228476C3" w14:textId="77777777" w:rsidTr="008E323B">
        <w:trPr>
          <w:trHeight w:val="252"/>
        </w:trPr>
        <w:tc>
          <w:tcPr>
            <w:tcW w:w="9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1CE21" w14:textId="77777777" w:rsidR="008E7597" w:rsidRPr="00C540CA" w:rsidRDefault="008E7597" w:rsidP="006656D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0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770B" w14:textId="77777777" w:rsidR="008E7597" w:rsidRPr="00C540CA" w:rsidRDefault="008E7597" w:rsidP="006656D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0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BD89" w14:textId="77777777" w:rsidR="008E7597" w:rsidRPr="00C540CA" w:rsidRDefault="008E7597" w:rsidP="006656D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0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F0C2" w14:textId="77777777" w:rsidR="008E7597" w:rsidRPr="00C540CA" w:rsidRDefault="008E7597" w:rsidP="006656D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0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20F7" w14:textId="77777777" w:rsidR="008E7597" w:rsidRPr="00C540CA" w:rsidRDefault="008E7597" w:rsidP="006656D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0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15927" w14:textId="77777777" w:rsidR="008E7597" w:rsidRPr="00C540CA" w:rsidRDefault="008E7597" w:rsidP="006656D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0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1A91" w14:textId="77777777" w:rsidR="008E7597" w:rsidRPr="00C540CA" w:rsidRDefault="008E7597" w:rsidP="006656D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0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FEA5" w14:textId="77777777" w:rsidR="008E7597" w:rsidRPr="00C540CA" w:rsidRDefault="008E7597" w:rsidP="006656D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0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6F535" w14:textId="77777777" w:rsidR="008E7597" w:rsidRPr="00C540CA" w:rsidRDefault="008E7597" w:rsidP="006656D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0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B013" w14:textId="77777777" w:rsidR="008E7597" w:rsidRPr="00C540CA" w:rsidRDefault="008E7597" w:rsidP="006656DF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0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14:paraId="4ECCD09C" w14:textId="77777777" w:rsidR="008E7597" w:rsidRPr="00C540CA" w:rsidRDefault="008E7597" w:rsidP="008576E2">
      <w:pPr>
        <w:spacing w:line="360" w:lineRule="auto"/>
        <w:jc w:val="both"/>
        <w:rPr>
          <w:snapToGrid w:val="0"/>
          <w:sz w:val="28"/>
          <w:szCs w:val="28"/>
        </w:rPr>
      </w:pPr>
    </w:p>
    <w:p w14:paraId="226BCC3D" w14:textId="77777777" w:rsidR="00920FC0" w:rsidRPr="00C540CA" w:rsidRDefault="00920FC0" w:rsidP="008576E2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C540CA">
        <w:rPr>
          <w:rFonts w:ascii="Times New Roman" w:hAnsi="Times New Roman" w:cs="Times New Roman"/>
          <w:sz w:val="26"/>
          <w:szCs w:val="26"/>
        </w:rPr>
        <w:t>Перечень и коды целевых статей расходов бюджета</w:t>
      </w:r>
      <w:r w:rsidR="004F698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C540CA">
        <w:rPr>
          <w:rFonts w:ascii="Times New Roman" w:hAnsi="Times New Roman" w:cs="Times New Roman"/>
          <w:sz w:val="26"/>
          <w:szCs w:val="26"/>
        </w:rPr>
        <w:t xml:space="preserve"> представлены в приложении № 2 к настоящему Порядку.</w:t>
      </w:r>
    </w:p>
    <w:p w14:paraId="1C86F24A" w14:textId="77777777" w:rsidR="002773C0" w:rsidRPr="00C540CA" w:rsidRDefault="00D90432" w:rsidP="001F183A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2773C0" w:rsidRPr="00C540CA">
        <w:rPr>
          <w:rFonts w:ascii="Times New Roman" w:hAnsi="Times New Roman" w:cs="Times New Roman"/>
          <w:sz w:val="26"/>
          <w:szCs w:val="26"/>
        </w:rPr>
        <w:t>Коды направлений расходов, содержащие значения 10000 – 19990, 20000 – 29990, 40000 – 49990, 70000 – 79990, 80000 – 89990, 90000 – 99990 используются:</w:t>
      </w:r>
    </w:p>
    <w:p w14:paraId="0009C838" w14:textId="77777777" w:rsidR="00E4067B" w:rsidRPr="00E4067B" w:rsidRDefault="00EC0673" w:rsidP="00E4067B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C540CA">
        <w:rPr>
          <w:rFonts w:ascii="Times New Roman" w:hAnsi="Times New Roman" w:cs="Times New Roman"/>
          <w:sz w:val="26"/>
          <w:szCs w:val="26"/>
        </w:rPr>
        <w:t>10000 –</w:t>
      </w:r>
      <w:r w:rsidR="006C49F2" w:rsidRPr="00C540CA">
        <w:rPr>
          <w:rFonts w:ascii="Times New Roman" w:hAnsi="Times New Roman" w:cs="Times New Roman"/>
          <w:sz w:val="26"/>
          <w:szCs w:val="26"/>
        </w:rPr>
        <w:t xml:space="preserve"> 19990</w:t>
      </w:r>
      <w:r w:rsidRPr="00C540CA">
        <w:rPr>
          <w:rFonts w:ascii="Times New Roman" w:hAnsi="Times New Roman" w:cs="Times New Roman"/>
          <w:sz w:val="26"/>
          <w:szCs w:val="26"/>
        </w:rPr>
        <w:t xml:space="preserve"> Расходы на содержание и обеспечение деятельности органов местного самоуправления Яковлевского муниципального </w:t>
      </w:r>
      <w:r w:rsidR="00D90432">
        <w:rPr>
          <w:rFonts w:ascii="Times New Roman" w:hAnsi="Times New Roman" w:cs="Times New Roman"/>
          <w:sz w:val="26"/>
          <w:szCs w:val="26"/>
        </w:rPr>
        <w:t>округ</w:t>
      </w:r>
      <w:r w:rsidRPr="00C540CA">
        <w:rPr>
          <w:rFonts w:ascii="Times New Roman" w:hAnsi="Times New Roman" w:cs="Times New Roman"/>
          <w:sz w:val="26"/>
          <w:szCs w:val="26"/>
        </w:rPr>
        <w:t>а</w:t>
      </w:r>
      <w:r w:rsidR="006C49F2" w:rsidRPr="00C540CA">
        <w:rPr>
          <w:rFonts w:ascii="Times New Roman" w:hAnsi="Times New Roman" w:cs="Times New Roman"/>
          <w:sz w:val="26"/>
          <w:szCs w:val="26"/>
        </w:rPr>
        <w:t>.</w:t>
      </w:r>
    </w:p>
    <w:p w14:paraId="1252BCD3" w14:textId="77777777" w:rsidR="006C49F2" w:rsidRPr="00C540CA" w:rsidRDefault="006C49F2" w:rsidP="008576E2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C540CA">
        <w:rPr>
          <w:rFonts w:ascii="Times New Roman" w:hAnsi="Times New Roman" w:cs="Times New Roman"/>
          <w:sz w:val="26"/>
          <w:szCs w:val="26"/>
        </w:rPr>
        <w:t>10</w:t>
      </w:r>
      <w:r w:rsidR="00E4067B">
        <w:rPr>
          <w:rFonts w:ascii="Times New Roman" w:hAnsi="Times New Roman" w:cs="Times New Roman"/>
          <w:sz w:val="26"/>
          <w:szCs w:val="26"/>
        </w:rPr>
        <w:t>11</w:t>
      </w:r>
      <w:r w:rsidRPr="00C540CA">
        <w:rPr>
          <w:rFonts w:ascii="Times New Roman" w:hAnsi="Times New Roman" w:cs="Times New Roman"/>
          <w:sz w:val="26"/>
          <w:szCs w:val="26"/>
        </w:rPr>
        <w:t xml:space="preserve">0 Руководство и управление в сфере установленных функций органов местного самоуправления Яковлевского муниципального </w:t>
      </w:r>
      <w:r w:rsidR="00E4067B">
        <w:rPr>
          <w:rFonts w:ascii="Times New Roman" w:hAnsi="Times New Roman" w:cs="Times New Roman"/>
          <w:sz w:val="26"/>
          <w:szCs w:val="26"/>
        </w:rPr>
        <w:t>округ</w:t>
      </w:r>
      <w:r w:rsidRPr="00C540CA">
        <w:rPr>
          <w:rFonts w:ascii="Times New Roman" w:hAnsi="Times New Roman" w:cs="Times New Roman"/>
          <w:sz w:val="26"/>
          <w:szCs w:val="26"/>
        </w:rPr>
        <w:t>а.</w:t>
      </w:r>
    </w:p>
    <w:p w14:paraId="0B22B224" w14:textId="77777777" w:rsidR="00E237DC" w:rsidRPr="00C540CA" w:rsidRDefault="006C49F2" w:rsidP="008576E2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C540CA">
        <w:rPr>
          <w:rFonts w:ascii="Times New Roman" w:hAnsi="Times New Roman" w:cs="Times New Roman"/>
          <w:sz w:val="26"/>
          <w:szCs w:val="26"/>
        </w:rPr>
        <w:lastRenderedPageBreak/>
        <w:t>По данному направлению расходов отражаются расходы бюджета</w:t>
      </w:r>
      <w:r w:rsidR="00E4067B">
        <w:rPr>
          <w:rFonts w:ascii="Times New Roman" w:hAnsi="Times New Roman" w:cs="Times New Roman"/>
          <w:sz w:val="26"/>
          <w:szCs w:val="26"/>
        </w:rPr>
        <w:t xml:space="preserve">  муниципального округа</w:t>
      </w:r>
      <w:r w:rsidRPr="00C540CA">
        <w:rPr>
          <w:rFonts w:ascii="Times New Roman" w:hAnsi="Times New Roman" w:cs="Times New Roman"/>
          <w:sz w:val="26"/>
          <w:szCs w:val="26"/>
        </w:rPr>
        <w:t xml:space="preserve"> на содержание и обеспечение деятельности Администрации Яковлевского муниципального </w:t>
      </w:r>
      <w:r w:rsidR="00E4067B">
        <w:rPr>
          <w:rFonts w:ascii="Times New Roman" w:hAnsi="Times New Roman" w:cs="Times New Roman"/>
          <w:sz w:val="26"/>
          <w:szCs w:val="26"/>
        </w:rPr>
        <w:t>округ</w:t>
      </w:r>
      <w:r w:rsidRPr="00C540CA">
        <w:rPr>
          <w:rFonts w:ascii="Times New Roman" w:hAnsi="Times New Roman" w:cs="Times New Roman"/>
          <w:sz w:val="26"/>
          <w:szCs w:val="26"/>
        </w:rPr>
        <w:t xml:space="preserve">а, Думы Яковлевского муниципального </w:t>
      </w:r>
      <w:r w:rsidR="00E4067B">
        <w:rPr>
          <w:rFonts w:ascii="Times New Roman" w:hAnsi="Times New Roman" w:cs="Times New Roman"/>
          <w:sz w:val="26"/>
          <w:szCs w:val="26"/>
        </w:rPr>
        <w:t>округ</w:t>
      </w:r>
      <w:r w:rsidRPr="00C540CA">
        <w:rPr>
          <w:rFonts w:ascii="Times New Roman" w:hAnsi="Times New Roman" w:cs="Times New Roman"/>
          <w:sz w:val="26"/>
          <w:szCs w:val="26"/>
        </w:rPr>
        <w:t xml:space="preserve">а, Контрольно-счетной палаты Яковлевского муниципального </w:t>
      </w:r>
      <w:r w:rsidR="00E4067B">
        <w:rPr>
          <w:rFonts w:ascii="Times New Roman" w:hAnsi="Times New Roman" w:cs="Times New Roman"/>
          <w:sz w:val="26"/>
          <w:szCs w:val="26"/>
        </w:rPr>
        <w:t>округ</w:t>
      </w:r>
      <w:r w:rsidRPr="00C540CA">
        <w:rPr>
          <w:rFonts w:ascii="Times New Roman" w:hAnsi="Times New Roman" w:cs="Times New Roman"/>
          <w:sz w:val="26"/>
          <w:szCs w:val="26"/>
        </w:rPr>
        <w:t xml:space="preserve">а, Финансового управления администрации Яковлевского муниципального </w:t>
      </w:r>
      <w:r w:rsidR="00E4067B">
        <w:rPr>
          <w:rFonts w:ascii="Times New Roman" w:hAnsi="Times New Roman" w:cs="Times New Roman"/>
          <w:sz w:val="26"/>
          <w:szCs w:val="26"/>
        </w:rPr>
        <w:t>округа</w:t>
      </w:r>
      <w:r w:rsidRPr="00C540C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D18B4C9" w14:textId="77777777" w:rsidR="00E237DC" w:rsidRPr="00C540CA" w:rsidRDefault="00E237DC" w:rsidP="008576E2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C540CA">
        <w:rPr>
          <w:rFonts w:ascii="Times New Roman" w:hAnsi="Times New Roman" w:cs="Times New Roman"/>
          <w:sz w:val="26"/>
          <w:szCs w:val="26"/>
        </w:rPr>
        <w:t>20000 –</w:t>
      </w:r>
      <w:r w:rsidR="00BB44B5" w:rsidRPr="00C540CA">
        <w:rPr>
          <w:rFonts w:ascii="Times New Roman" w:hAnsi="Times New Roman" w:cs="Times New Roman"/>
          <w:sz w:val="26"/>
          <w:szCs w:val="26"/>
        </w:rPr>
        <w:t xml:space="preserve"> 29990</w:t>
      </w:r>
      <w:r w:rsidRPr="00C540CA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BB44B5" w:rsidRPr="00C540CA">
        <w:rPr>
          <w:rFonts w:ascii="Times New Roman" w:hAnsi="Times New Roman" w:cs="Times New Roman"/>
          <w:sz w:val="26"/>
          <w:szCs w:val="26"/>
        </w:rPr>
        <w:t>.</w:t>
      </w:r>
    </w:p>
    <w:p w14:paraId="47DC6305" w14:textId="77777777" w:rsidR="00135AB0" w:rsidRPr="00C540CA" w:rsidRDefault="00E237DC" w:rsidP="008576E2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C540CA">
        <w:rPr>
          <w:rFonts w:ascii="Times New Roman" w:hAnsi="Times New Roman" w:cs="Times New Roman"/>
          <w:sz w:val="26"/>
          <w:szCs w:val="26"/>
        </w:rPr>
        <w:t>По данному коду направления расходов отражаются расходы бюджета</w:t>
      </w:r>
      <w:r w:rsidR="00E4067B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C540CA">
        <w:rPr>
          <w:rFonts w:ascii="Times New Roman" w:hAnsi="Times New Roman" w:cs="Times New Roman"/>
          <w:sz w:val="26"/>
          <w:szCs w:val="26"/>
        </w:rPr>
        <w:t xml:space="preserve"> на мероприятия, проводимые в рамках муниципальных программ Яковлевского муниципального </w:t>
      </w:r>
      <w:r w:rsidR="00E4067B">
        <w:rPr>
          <w:rFonts w:ascii="Times New Roman" w:hAnsi="Times New Roman" w:cs="Times New Roman"/>
          <w:sz w:val="26"/>
          <w:szCs w:val="26"/>
        </w:rPr>
        <w:t>округ</w:t>
      </w:r>
      <w:r w:rsidRPr="00C540CA">
        <w:rPr>
          <w:rFonts w:ascii="Times New Roman" w:hAnsi="Times New Roman" w:cs="Times New Roman"/>
          <w:sz w:val="26"/>
          <w:szCs w:val="26"/>
        </w:rPr>
        <w:t>а и</w:t>
      </w:r>
      <w:r w:rsidR="004D116D" w:rsidRPr="00C540CA">
        <w:rPr>
          <w:rFonts w:ascii="Times New Roman" w:hAnsi="Times New Roman" w:cs="Times New Roman"/>
          <w:sz w:val="26"/>
          <w:szCs w:val="26"/>
        </w:rPr>
        <w:t xml:space="preserve"> непрограммных направлений деятельности органов местного самоуправления Яковлевского муниципального </w:t>
      </w:r>
      <w:r w:rsidR="00E4067B">
        <w:rPr>
          <w:rFonts w:ascii="Times New Roman" w:hAnsi="Times New Roman" w:cs="Times New Roman"/>
          <w:sz w:val="26"/>
          <w:szCs w:val="26"/>
        </w:rPr>
        <w:t>округ</w:t>
      </w:r>
      <w:r w:rsidR="004D116D" w:rsidRPr="00C540CA">
        <w:rPr>
          <w:rFonts w:ascii="Times New Roman" w:hAnsi="Times New Roman" w:cs="Times New Roman"/>
          <w:sz w:val="26"/>
          <w:szCs w:val="26"/>
        </w:rPr>
        <w:t>а, реализуемые органами местного самоуправления и муниципальными учреждениями.</w:t>
      </w:r>
    </w:p>
    <w:p w14:paraId="6CCFA2EF" w14:textId="77777777" w:rsidR="00186377" w:rsidRPr="00C540CA" w:rsidRDefault="00186377" w:rsidP="008576E2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C540CA">
        <w:rPr>
          <w:rFonts w:ascii="Times New Roman" w:hAnsi="Times New Roman" w:cs="Times New Roman"/>
          <w:sz w:val="26"/>
          <w:szCs w:val="26"/>
        </w:rPr>
        <w:t xml:space="preserve">40000 – </w:t>
      </w:r>
      <w:r w:rsidR="00A82D49" w:rsidRPr="00C540CA">
        <w:rPr>
          <w:rFonts w:ascii="Times New Roman" w:hAnsi="Times New Roman" w:cs="Times New Roman"/>
          <w:sz w:val="26"/>
          <w:szCs w:val="26"/>
        </w:rPr>
        <w:t xml:space="preserve">49990 </w:t>
      </w:r>
      <w:r w:rsidRPr="00C540CA">
        <w:rPr>
          <w:rFonts w:ascii="Times New Roman" w:hAnsi="Times New Roman" w:cs="Times New Roman"/>
          <w:sz w:val="26"/>
          <w:szCs w:val="26"/>
        </w:rPr>
        <w:t xml:space="preserve">Капитальные вложения в объекты недвижимого имущества собственности Яковлевского муниципального </w:t>
      </w:r>
      <w:r w:rsidR="00E4067B">
        <w:rPr>
          <w:rFonts w:ascii="Times New Roman" w:hAnsi="Times New Roman" w:cs="Times New Roman"/>
          <w:sz w:val="26"/>
          <w:szCs w:val="26"/>
        </w:rPr>
        <w:t>округа.</w:t>
      </w:r>
    </w:p>
    <w:p w14:paraId="74AAAF25" w14:textId="77777777" w:rsidR="00A112B4" w:rsidRDefault="00186377" w:rsidP="008576E2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C540CA">
        <w:rPr>
          <w:rFonts w:ascii="Times New Roman" w:hAnsi="Times New Roman" w:cs="Times New Roman"/>
          <w:sz w:val="26"/>
          <w:szCs w:val="26"/>
        </w:rPr>
        <w:t>По данному</w:t>
      </w:r>
      <w:r w:rsidR="005309F9" w:rsidRPr="00C540CA">
        <w:rPr>
          <w:rFonts w:ascii="Times New Roman" w:hAnsi="Times New Roman" w:cs="Times New Roman"/>
          <w:sz w:val="26"/>
          <w:szCs w:val="26"/>
        </w:rPr>
        <w:t xml:space="preserve"> коду </w:t>
      </w:r>
      <w:r w:rsidRPr="00C540CA">
        <w:rPr>
          <w:rFonts w:ascii="Times New Roman" w:hAnsi="Times New Roman" w:cs="Times New Roman"/>
          <w:sz w:val="26"/>
          <w:szCs w:val="26"/>
        </w:rPr>
        <w:t xml:space="preserve"> направлени</w:t>
      </w:r>
      <w:r w:rsidR="005309F9" w:rsidRPr="00C540CA">
        <w:rPr>
          <w:rFonts w:ascii="Times New Roman" w:hAnsi="Times New Roman" w:cs="Times New Roman"/>
          <w:sz w:val="26"/>
          <w:szCs w:val="26"/>
        </w:rPr>
        <w:t>я</w:t>
      </w:r>
      <w:r w:rsidRPr="00C540CA">
        <w:rPr>
          <w:rFonts w:ascii="Times New Roman" w:hAnsi="Times New Roman" w:cs="Times New Roman"/>
          <w:sz w:val="26"/>
          <w:szCs w:val="26"/>
        </w:rPr>
        <w:t xml:space="preserve"> расходов</w:t>
      </w:r>
      <w:r w:rsidR="005309F9" w:rsidRPr="00C540CA">
        <w:rPr>
          <w:rFonts w:ascii="Times New Roman" w:hAnsi="Times New Roman" w:cs="Times New Roman"/>
          <w:sz w:val="26"/>
          <w:szCs w:val="26"/>
        </w:rPr>
        <w:t xml:space="preserve"> отражаются расходы бюджета </w:t>
      </w:r>
      <w:r w:rsidR="00E4067B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5309F9" w:rsidRPr="00C540CA">
        <w:rPr>
          <w:rFonts w:ascii="Times New Roman" w:hAnsi="Times New Roman" w:cs="Times New Roman"/>
          <w:sz w:val="26"/>
          <w:szCs w:val="26"/>
        </w:rPr>
        <w:t xml:space="preserve">на осуществление бюджетных инвестиций в форме капитальных вложений в объекты капитального строительства собственности Яковлевского муниципального </w:t>
      </w:r>
      <w:r w:rsidR="00E4067B">
        <w:rPr>
          <w:rFonts w:ascii="Times New Roman" w:hAnsi="Times New Roman" w:cs="Times New Roman"/>
          <w:sz w:val="26"/>
          <w:szCs w:val="26"/>
        </w:rPr>
        <w:t>округ</w:t>
      </w:r>
      <w:r w:rsidR="005309F9" w:rsidRPr="00C540CA">
        <w:rPr>
          <w:rFonts w:ascii="Times New Roman" w:hAnsi="Times New Roman" w:cs="Times New Roman"/>
          <w:sz w:val="26"/>
          <w:szCs w:val="26"/>
        </w:rPr>
        <w:t xml:space="preserve">а,  на приобретение </w:t>
      </w:r>
      <w:r w:rsidR="007462A5" w:rsidRPr="00C540CA">
        <w:rPr>
          <w:rFonts w:ascii="Times New Roman" w:hAnsi="Times New Roman" w:cs="Times New Roman"/>
          <w:sz w:val="26"/>
          <w:szCs w:val="26"/>
        </w:rPr>
        <w:t xml:space="preserve"> </w:t>
      </w:r>
      <w:r w:rsidR="005309F9" w:rsidRPr="00C540CA">
        <w:rPr>
          <w:rFonts w:ascii="Times New Roman" w:hAnsi="Times New Roman" w:cs="Times New Roman"/>
          <w:sz w:val="26"/>
          <w:szCs w:val="26"/>
        </w:rPr>
        <w:t xml:space="preserve">объектов недвижимого имущества собственности Яковлевского муниципального </w:t>
      </w:r>
      <w:r w:rsidR="00E4067B">
        <w:rPr>
          <w:rFonts w:ascii="Times New Roman" w:hAnsi="Times New Roman" w:cs="Times New Roman"/>
          <w:sz w:val="26"/>
          <w:szCs w:val="26"/>
        </w:rPr>
        <w:t>округа</w:t>
      </w:r>
      <w:r w:rsidR="00623F59">
        <w:rPr>
          <w:rFonts w:ascii="Times New Roman" w:hAnsi="Times New Roman" w:cs="Times New Roman"/>
          <w:sz w:val="26"/>
          <w:szCs w:val="26"/>
        </w:rPr>
        <w:t>;</w:t>
      </w:r>
    </w:p>
    <w:p w14:paraId="530E1640" w14:textId="77777777" w:rsidR="00711E8A" w:rsidRDefault="00711E8A" w:rsidP="008576E2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40050 – для отражения расходов бюджета муниципального округа на капитальный ремонт и ремонт автомобильных дорог общего пользования населенных пунктов;</w:t>
      </w:r>
    </w:p>
    <w:p w14:paraId="5E78802C" w14:textId="77777777" w:rsidR="00711E8A" w:rsidRDefault="00623F59" w:rsidP="008576E2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40080 - для отражения расходов бюджета муниципального округа на капитальный ремонт муниципальных учреждений;</w:t>
      </w:r>
    </w:p>
    <w:p w14:paraId="4FD9F98A" w14:textId="77777777" w:rsidR="00623F59" w:rsidRDefault="00623F59" w:rsidP="008576E2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40120 - для отражения расходов бюджета муниципального округа на строительство (ремонт, реконструкцию) спортивных сооружений;</w:t>
      </w:r>
    </w:p>
    <w:p w14:paraId="78471000" w14:textId="77777777" w:rsidR="00623F59" w:rsidRDefault="00623F59" w:rsidP="008576E2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40130 - для отражения расходов бюджета муниципального округа на ремонт, реконструкцию спортивных залов;</w:t>
      </w:r>
    </w:p>
    <w:p w14:paraId="593DCD47" w14:textId="77777777" w:rsidR="00623F59" w:rsidRDefault="00623F59" w:rsidP="008576E2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40150 -</w:t>
      </w:r>
      <w:r w:rsidRPr="00623F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отражения расходов бюджета муниципального округа на капитальное строительство здания библиотеки с. Достоевка Яковлевского муниципального округа, включая проектно-сметную документацию;</w:t>
      </w:r>
    </w:p>
    <w:p w14:paraId="32F9119B" w14:textId="77777777" w:rsidR="00623F59" w:rsidRPr="00C540CA" w:rsidRDefault="00623F59" w:rsidP="008576E2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40160 - для отражения расходов бюджета муниципального округа на ремонт, реконструкцию лыжной трассы и здания лыжной базы с. Яковлевка.</w:t>
      </w:r>
    </w:p>
    <w:p w14:paraId="182547F8" w14:textId="77777777" w:rsidR="004B0E0F" w:rsidRPr="00C540CA" w:rsidRDefault="004B0E0F" w:rsidP="00821A21">
      <w:pPr>
        <w:pStyle w:val="a9"/>
        <w:spacing w:line="360" w:lineRule="auto"/>
        <w:ind w:firstLine="1134"/>
        <w:jc w:val="both"/>
        <w:rPr>
          <w:szCs w:val="26"/>
        </w:rPr>
      </w:pPr>
      <w:r w:rsidRPr="00C540CA">
        <w:rPr>
          <w:szCs w:val="26"/>
        </w:rPr>
        <w:t xml:space="preserve">70000 – </w:t>
      </w:r>
      <w:r w:rsidR="00307376" w:rsidRPr="00C540CA">
        <w:rPr>
          <w:szCs w:val="26"/>
        </w:rPr>
        <w:t xml:space="preserve">79990 </w:t>
      </w:r>
      <w:r w:rsidR="00821A21">
        <w:rPr>
          <w:szCs w:val="26"/>
        </w:rPr>
        <w:t>– для отражения расходов бюджета Яковлевского муниципального округа на финансовое обеспечение деятельности</w:t>
      </w:r>
      <w:r w:rsidRPr="00C540CA">
        <w:rPr>
          <w:szCs w:val="26"/>
        </w:rPr>
        <w:t xml:space="preserve"> (оказание услуг, выполнение работ) </w:t>
      </w:r>
      <w:r w:rsidR="004B1339" w:rsidRPr="00C540CA">
        <w:rPr>
          <w:szCs w:val="26"/>
        </w:rPr>
        <w:t>муниципальных</w:t>
      </w:r>
      <w:r w:rsidRPr="00C540CA">
        <w:rPr>
          <w:szCs w:val="26"/>
        </w:rPr>
        <w:t xml:space="preserve"> учреждений</w:t>
      </w:r>
      <w:r w:rsidR="00987B4C">
        <w:rPr>
          <w:szCs w:val="26"/>
        </w:rPr>
        <w:t xml:space="preserve">  </w:t>
      </w:r>
      <w:r w:rsidRPr="00C540CA">
        <w:rPr>
          <w:szCs w:val="26"/>
        </w:rPr>
        <w:t xml:space="preserve">включая расходы на капитальный ремонт нефинансовых активов, закрепленных за </w:t>
      </w:r>
      <w:r w:rsidR="004B1339" w:rsidRPr="00C540CA">
        <w:rPr>
          <w:szCs w:val="26"/>
        </w:rPr>
        <w:t xml:space="preserve"> муниципальными</w:t>
      </w:r>
      <w:r w:rsidRPr="00C540CA">
        <w:rPr>
          <w:szCs w:val="26"/>
        </w:rPr>
        <w:t xml:space="preserve"> учреждениями, приобретение </w:t>
      </w:r>
      <w:r w:rsidR="004B1339" w:rsidRPr="00C540CA">
        <w:rPr>
          <w:szCs w:val="26"/>
        </w:rPr>
        <w:t>муниципальными</w:t>
      </w:r>
      <w:r w:rsidRPr="00C540CA">
        <w:rPr>
          <w:szCs w:val="26"/>
        </w:rPr>
        <w:t xml:space="preserve"> учреждениями движимого имущества.</w:t>
      </w:r>
    </w:p>
    <w:p w14:paraId="6946B4B5" w14:textId="77777777" w:rsidR="00C1011A" w:rsidRPr="00C540CA" w:rsidRDefault="00C1011A" w:rsidP="00C1011A">
      <w:pPr>
        <w:pStyle w:val="a9"/>
        <w:spacing w:line="360" w:lineRule="auto"/>
        <w:ind w:firstLine="1134"/>
        <w:jc w:val="both"/>
        <w:rPr>
          <w:szCs w:val="26"/>
        </w:rPr>
      </w:pPr>
      <w:r w:rsidRPr="00C540CA">
        <w:rPr>
          <w:szCs w:val="26"/>
        </w:rPr>
        <w:t xml:space="preserve">70010 -  Расходы на обеспечение деятельности (оказание услуг, выполнение работ) муниципальных учреждений. </w:t>
      </w:r>
    </w:p>
    <w:p w14:paraId="588F65C2" w14:textId="77777777" w:rsidR="00C1011A" w:rsidRPr="00C540CA" w:rsidRDefault="00C1011A" w:rsidP="00C1011A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C540CA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расходы бюджета</w:t>
      </w:r>
      <w:r w:rsidR="00987B4C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C540CA">
        <w:rPr>
          <w:rFonts w:ascii="Times New Roman" w:hAnsi="Times New Roman" w:cs="Times New Roman"/>
          <w:sz w:val="26"/>
          <w:szCs w:val="26"/>
        </w:rPr>
        <w:t xml:space="preserve"> на содержание и обеспечение деятельности (оказание услуг, выполнение работ) муниципальных учреждений, в том числе на предоставление бюджетным и автономным учреждениям субсидий.</w:t>
      </w:r>
    </w:p>
    <w:p w14:paraId="103FB3CC" w14:textId="77777777" w:rsidR="004B0E0F" w:rsidRPr="00C540CA" w:rsidRDefault="004B0E0F" w:rsidP="008576E2">
      <w:pPr>
        <w:pStyle w:val="a9"/>
        <w:spacing w:line="360" w:lineRule="auto"/>
        <w:ind w:firstLine="1134"/>
        <w:jc w:val="left"/>
        <w:rPr>
          <w:szCs w:val="26"/>
        </w:rPr>
      </w:pPr>
      <w:r w:rsidRPr="00C540CA">
        <w:rPr>
          <w:szCs w:val="26"/>
        </w:rPr>
        <w:t>80000</w:t>
      </w:r>
      <w:r w:rsidR="008576E2" w:rsidRPr="00C540CA">
        <w:rPr>
          <w:szCs w:val="26"/>
        </w:rPr>
        <w:t xml:space="preserve">  </w:t>
      </w:r>
      <w:r w:rsidRPr="00C540CA">
        <w:rPr>
          <w:szCs w:val="26"/>
        </w:rPr>
        <w:t>–</w:t>
      </w:r>
      <w:r w:rsidR="008576E2" w:rsidRPr="00C540CA">
        <w:rPr>
          <w:szCs w:val="26"/>
        </w:rPr>
        <w:t xml:space="preserve">  89990 </w:t>
      </w:r>
      <w:r w:rsidRPr="00C540CA">
        <w:rPr>
          <w:szCs w:val="26"/>
        </w:rPr>
        <w:t xml:space="preserve"> Социальное обеспечение и иные выплаты населению</w:t>
      </w:r>
      <w:r w:rsidR="008576E2" w:rsidRPr="00C540CA">
        <w:rPr>
          <w:szCs w:val="26"/>
        </w:rPr>
        <w:t>.</w:t>
      </w:r>
    </w:p>
    <w:p w14:paraId="76E1574C" w14:textId="77777777" w:rsidR="000568E7" w:rsidRDefault="004B0E0F" w:rsidP="008576E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C540CA">
        <w:rPr>
          <w:rFonts w:ascii="Times New Roman" w:hAnsi="Times New Roman" w:cs="Times New Roman"/>
          <w:sz w:val="26"/>
          <w:szCs w:val="26"/>
        </w:rPr>
        <w:t>По данному коду направления расходов отражаются расходы бюджета</w:t>
      </w:r>
      <w:r w:rsidR="0062434B" w:rsidRPr="0062434B">
        <w:rPr>
          <w:rFonts w:ascii="Times New Roman" w:hAnsi="Times New Roman" w:cs="Times New Roman"/>
          <w:sz w:val="26"/>
          <w:szCs w:val="26"/>
        </w:rPr>
        <w:t xml:space="preserve"> </w:t>
      </w:r>
      <w:r w:rsidR="0062434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C540CA">
        <w:rPr>
          <w:rFonts w:ascii="Times New Roman" w:hAnsi="Times New Roman" w:cs="Times New Roman"/>
          <w:sz w:val="26"/>
          <w:szCs w:val="26"/>
        </w:rPr>
        <w:t xml:space="preserve"> на социальное обеспечение и иные выплаты населению, а также ра</w:t>
      </w:r>
      <w:r w:rsidR="00623F59">
        <w:rPr>
          <w:rFonts w:ascii="Times New Roman" w:hAnsi="Times New Roman" w:cs="Times New Roman"/>
          <w:sz w:val="26"/>
          <w:szCs w:val="26"/>
        </w:rPr>
        <w:t>сходы, связанные с их доставкой;</w:t>
      </w:r>
    </w:p>
    <w:p w14:paraId="3DDEF5AC" w14:textId="77777777" w:rsidR="00623F59" w:rsidRDefault="00623F59" w:rsidP="008576E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80050 - для отражения расходов бюджета муниципального округа на мероприятия по социализации пожилых людей в обществе;</w:t>
      </w:r>
    </w:p>
    <w:p w14:paraId="2D839317" w14:textId="77777777" w:rsidR="00623F59" w:rsidRDefault="00623F59" w:rsidP="008576E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80090 - для отражения расходов бюджета муниципального округа на социальные выплаты на обеспечение жильем граждан Российской Федерации, проживающих в сельской местности;</w:t>
      </w:r>
    </w:p>
    <w:p w14:paraId="2BAE9766" w14:textId="77777777" w:rsidR="00623F59" w:rsidRPr="00C540CA" w:rsidRDefault="00623F59" w:rsidP="00CB476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80110 - для отражения расходов бюджета муниципального округа на выплату пенсии за выслугу лет муниципальным служащим.</w:t>
      </w:r>
    </w:p>
    <w:p w14:paraId="63F2E6D0" w14:textId="77777777" w:rsidR="00AD79A8" w:rsidRPr="00C540CA" w:rsidRDefault="00AD79A8" w:rsidP="008576E2">
      <w:pPr>
        <w:pStyle w:val="ConsPlusTitle"/>
        <w:widowControl/>
        <w:spacing w:line="360" w:lineRule="auto"/>
        <w:ind w:firstLine="1134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540CA">
        <w:rPr>
          <w:rFonts w:ascii="Times New Roman" w:hAnsi="Times New Roman" w:cs="Times New Roman"/>
          <w:b w:val="0"/>
          <w:bCs w:val="0"/>
          <w:sz w:val="26"/>
          <w:szCs w:val="26"/>
        </w:rPr>
        <w:t>90000</w:t>
      </w:r>
      <w:r w:rsidR="008576E2" w:rsidRPr="00C540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C540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– </w:t>
      </w:r>
      <w:r w:rsidR="008576E2" w:rsidRPr="00C540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99990 </w:t>
      </w:r>
      <w:r w:rsidRPr="00C540CA">
        <w:rPr>
          <w:rFonts w:ascii="Times New Roman" w:hAnsi="Times New Roman" w:cs="Times New Roman"/>
          <w:b w:val="0"/>
          <w:bCs w:val="0"/>
          <w:sz w:val="26"/>
          <w:szCs w:val="26"/>
        </w:rPr>
        <w:t>Межбюджетные трансферты из краевого бюджета</w:t>
      </w:r>
    </w:p>
    <w:p w14:paraId="788DB3B1" w14:textId="77777777" w:rsidR="00AD79A8" w:rsidRPr="008576E2" w:rsidRDefault="00AD79A8" w:rsidP="00E371F1">
      <w:pPr>
        <w:pStyle w:val="ConsPlusTitle"/>
        <w:widowControl/>
        <w:spacing w:line="360" w:lineRule="auto"/>
        <w:ind w:firstLine="113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540CA">
        <w:rPr>
          <w:rFonts w:ascii="Times New Roman" w:hAnsi="Times New Roman" w:cs="Times New Roman"/>
          <w:b w:val="0"/>
          <w:bCs w:val="0"/>
          <w:sz w:val="26"/>
          <w:szCs w:val="26"/>
        </w:rPr>
        <w:t>По данному коду направления расходов отражаются расходы бюджета</w:t>
      </w:r>
      <w:r w:rsidR="00987B4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муниципального округа</w:t>
      </w:r>
      <w:r w:rsidRPr="00C540CA">
        <w:rPr>
          <w:rFonts w:ascii="Times New Roman" w:hAnsi="Times New Roman" w:cs="Times New Roman"/>
          <w:b w:val="0"/>
          <w:bCs w:val="0"/>
          <w:sz w:val="26"/>
          <w:szCs w:val="26"/>
        </w:rPr>
        <w:t>, осуществляемые за счет субсидий</w:t>
      </w:r>
      <w:r w:rsidR="008576E2" w:rsidRPr="00C540CA">
        <w:rPr>
          <w:rFonts w:ascii="Times New Roman" w:hAnsi="Times New Roman" w:cs="Times New Roman"/>
          <w:b w:val="0"/>
          <w:bCs w:val="0"/>
          <w:sz w:val="26"/>
          <w:szCs w:val="26"/>
        </w:rPr>
        <w:t>, субвенций</w:t>
      </w:r>
      <w:r w:rsidRPr="00C540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иных межбюджетных трансфертов, пре</w:t>
      </w:r>
      <w:r w:rsidR="00025BC5" w:rsidRPr="00C540CA">
        <w:rPr>
          <w:rFonts w:ascii="Times New Roman" w:hAnsi="Times New Roman" w:cs="Times New Roman"/>
          <w:b w:val="0"/>
          <w:bCs w:val="0"/>
          <w:sz w:val="26"/>
          <w:szCs w:val="26"/>
        </w:rPr>
        <w:t>доставленных из краевого бюджета.</w:t>
      </w:r>
    </w:p>
    <w:p w14:paraId="6F339059" w14:textId="77777777" w:rsidR="004B0E0F" w:rsidRPr="00A72F95" w:rsidRDefault="004B0E0F" w:rsidP="00463C6B">
      <w:pPr>
        <w:spacing w:after="12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sectPr w:rsidR="004B0E0F" w:rsidRPr="00A72F95" w:rsidSect="00286347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E7C7D" w14:textId="77777777" w:rsidR="00604C41" w:rsidRDefault="00604C41" w:rsidP="00554FA3">
      <w:pPr>
        <w:spacing w:after="0" w:line="240" w:lineRule="auto"/>
      </w:pPr>
      <w:r>
        <w:separator/>
      </w:r>
    </w:p>
  </w:endnote>
  <w:endnote w:type="continuationSeparator" w:id="0">
    <w:p w14:paraId="5EEC2B8A" w14:textId="77777777" w:rsidR="00604C41" w:rsidRDefault="00604C41" w:rsidP="0055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F4ADD" w14:textId="77777777" w:rsidR="00604C41" w:rsidRDefault="00604C41" w:rsidP="00554FA3">
      <w:pPr>
        <w:spacing w:after="0" w:line="240" w:lineRule="auto"/>
      </w:pPr>
      <w:r>
        <w:separator/>
      </w:r>
    </w:p>
  </w:footnote>
  <w:footnote w:type="continuationSeparator" w:id="0">
    <w:p w14:paraId="31BE4DA2" w14:textId="77777777" w:rsidR="00604C41" w:rsidRDefault="00604C41" w:rsidP="00554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1670755"/>
      <w:docPartObj>
        <w:docPartGallery w:val="Page Numbers (Top of Page)"/>
        <w:docPartUnique/>
      </w:docPartObj>
    </w:sdtPr>
    <w:sdtEndPr/>
    <w:sdtContent>
      <w:p w14:paraId="3AA6F174" w14:textId="77777777" w:rsidR="00554FA3" w:rsidRDefault="00554FA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34B">
          <w:rPr>
            <w:noProof/>
          </w:rPr>
          <w:t>4</w:t>
        </w:r>
        <w:r>
          <w:fldChar w:fldCharType="end"/>
        </w:r>
      </w:p>
    </w:sdtContent>
  </w:sdt>
  <w:p w14:paraId="3189B041" w14:textId="77777777" w:rsidR="00554FA3" w:rsidRDefault="00554F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AE1D00"/>
    <w:multiLevelType w:val="multilevel"/>
    <w:tmpl w:val="65C81D6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" w15:restartNumberingAfterBreak="0">
    <w:nsid w:val="78E96848"/>
    <w:multiLevelType w:val="hybridMultilevel"/>
    <w:tmpl w:val="49B29590"/>
    <w:lvl w:ilvl="0" w:tplc="73EA66E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6BD"/>
    <w:rsid w:val="00003640"/>
    <w:rsid w:val="00003C74"/>
    <w:rsid w:val="00004948"/>
    <w:rsid w:val="00012423"/>
    <w:rsid w:val="00017412"/>
    <w:rsid w:val="000210CB"/>
    <w:rsid w:val="00025BC5"/>
    <w:rsid w:val="00052304"/>
    <w:rsid w:val="000568E7"/>
    <w:rsid w:val="0006215A"/>
    <w:rsid w:val="00071D25"/>
    <w:rsid w:val="000E4CC7"/>
    <w:rsid w:val="000F4727"/>
    <w:rsid w:val="00115AFD"/>
    <w:rsid w:val="00122457"/>
    <w:rsid w:val="001227B8"/>
    <w:rsid w:val="00135AB0"/>
    <w:rsid w:val="00145B87"/>
    <w:rsid w:val="00177342"/>
    <w:rsid w:val="00186377"/>
    <w:rsid w:val="00193DA5"/>
    <w:rsid w:val="001C037B"/>
    <w:rsid w:val="001C5F38"/>
    <w:rsid w:val="001E298D"/>
    <w:rsid w:val="001F183A"/>
    <w:rsid w:val="001F6011"/>
    <w:rsid w:val="002546FF"/>
    <w:rsid w:val="002773C0"/>
    <w:rsid w:val="00286347"/>
    <w:rsid w:val="00295681"/>
    <w:rsid w:val="002A69E5"/>
    <w:rsid w:val="002F5B58"/>
    <w:rsid w:val="00307376"/>
    <w:rsid w:val="00330C13"/>
    <w:rsid w:val="00335B06"/>
    <w:rsid w:val="0034040D"/>
    <w:rsid w:val="00357337"/>
    <w:rsid w:val="003645FB"/>
    <w:rsid w:val="00365DFA"/>
    <w:rsid w:val="0037449A"/>
    <w:rsid w:val="003B7F1A"/>
    <w:rsid w:val="003D11FB"/>
    <w:rsid w:val="003E2E3C"/>
    <w:rsid w:val="00417E6E"/>
    <w:rsid w:val="00422812"/>
    <w:rsid w:val="0043052C"/>
    <w:rsid w:val="004625D8"/>
    <w:rsid w:val="00463C6B"/>
    <w:rsid w:val="004663E1"/>
    <w:rsid w:val="00480F48"/>
    <w:rsid w:val="0048707A"/>
    <w:rsid w:val="004B0E0F"/>
    <w:rsid w:val="004B1339"/>
    <w:rsid w:val="004D111B"/>
    <w:rsid w:val="004D116D"/>
    <w:rsid w:val="004E3DF6"/>
    <w:rsid w:val="004F6985"/>
    <w:rsid w:val="00507185"/>
    <w:rsid w:val="005309F9"/>
    <w:rsid w:val="00532AC3"/>
    <w:rsid w:val="00541D14"/>
    <w:rsid w:val="005549AD"/>
    <w:rsid w:val="00554FA3"/>
    <w:rsid w:val="00597726"/>
    <w:rsid w:val="005C6E6A"/>
    <w:rsid w:val="005E5503"/>
    <w:rsid w:val="005F3723"/>
    <w:rsid w:val="00600A0A"/>
    <w:rsid w:val="00604C41"/>
    <w:rsid w:val="00614A8D"/>
    <w:rsid w:val="00623F59"/>
    <w:rsid w:val="0062434B"/>
    <w:rsid w:val="00652993"/>
    <w:rsid w:val="00652B8A"/>
    <w:rsid w:val="006579AA"/>
    <w:rsid w:val="006735BC"/>
    <w:rsid w:val="00676822"/>
    <w:rsid w:val="006830F5"/>
    <w:rsid w:val="00683BF2"/>
    <w:rsid w:val="00686D11"/>
    <w:rsid w:val="006962FB"/>
    <w:rsid w:val="006B228F"/>
    <w:rsid w:val="006C49F2"/>
    <w:rsid w:val="006D2460"/>
    <w:rsid w:val="006E78A4"/>
    <w:rsid w:val="00705061"/>
    <w:rsid w:val="00711E8A"/>
    <w:rsid w:val="00713F39"/>
    <w:rsid w:val="007462A5"/>
    <w:rsid w:val="00746DD6"/>
    <w:rsid w:val="007C097C"/>
    <w:rsid w:val="007C1004"/>
    <w:rsid w:val="007D4C6C"/>
    <w:rsid w:val="00806DF4"/>
    <w:rsid w:val="00821A21"/>
    <w:rsid w:val="008223E6"/>
    <w:rsid w:val="008527E2"/>
    <w:rsid w:val="008576E2"/>
    <w:rsid w:val="008A35A4"/>
    <w:rsid w:val="008C0BBA"/>
    <w:rsid w:val="008C6421"/>
    <w:rsid w:val="008E323B"/>
    <w:rsid w:val="008E7597"/>
    <w:rsid w:val="008F058D"/>
    <w:rsid w:val="00905E66"/>
    <w:rsid w:val="009146D2"/>
    <w:rsid w:val="00920FC0"/>
    <w:rsid w:val="00923491"/>
    <w:rsid w:val="00924F55"/>
    <w:rsid w:val="00935C8B"/>
    <w:rsid w:val="00953B1A"/>
    <w:rsid w:val="00964EF6"/>
    <w:rsid w:val="00981634"/>
    <w:rsid w:val="00987B4C"/>
    <w:rsid w:val="00991032"/>
    <w:rsid w:val="00995A95"/>
    <w:rsid w:val="009D5AB6"/>
    <w:rsid w:val="00A112B4"/>
    <w:rsid w:val="00A1243E"/>
    <w:rsid w:val="00A268F4"/>
    <w:rsid w:val="00A367A5"/>
    <w:rsid w:val="00A40067"/>
    <w:rsid w:val="00A55A97"/>
    <w:rsid w:val="00A5785D"/>
    <w:rsid w:val="00A72F95"/>
    <w:rsid w:val="00A82D49"/>
    <w:rsid w:val="00AC5496"/>
    <w:rsid w:val="00AD79A8"/>
    <w:rsid w:val="00B416E1"/>
    <w:rsid w:val="00B42E68"/>
    <w:rsid w:val="00B50170"/>
    <w:rsid w:val="00B51A79"/>
    <w:rsid w:val="00B52FBC"/>
    <w:rsid w:val="00B73128"/>
    <w:rsid w:val="00B83F6F"/>
    <w:rsid w:val="00B84563"/>
    <w:rsid w:val="00BA4C8F"/>
    <w:rsid w:val="00BB44B5"/>
    <w:rsid w:val="00BB57FA"/>
    <w:rsid w:val="00BC08AF"/>
    <w:rsid w:val="00BC367B"/>
    <w:rsid w:val="00BC6E8A"/>
    <w:rsid w:val="00BC708D"/>
    <w:rsid w:val="00C1011A"/>
    <w:rsid w:val="00C15B4C"/>
    <w:rsid w:val="00C244B1"/>
    <w:rsid w:val="00C540CA"/>
    <w:rsid w:val="00C7012B"/>
    <w:rsid w:val="00C76545"/>
    <w:rsid w:val="00C7664E"/>
    <w:rsid w:val="00C77126"/>
    <w:rsid w:val="00C92645"/>
    <w:rsid w:val="00CB4767"/>
    <w:rsid w:val="00CB71ED"/>
    <w:rsid w:val="00CC6CE5"/>
    <w:rsid w:val="00CF1EFC"/>
    <w:rsid w:val="00CF4A82"/>
    <w:rsid w:val="00D11B63"/>
    <w:rsid w:val="00D16A28"/>
    <w:rsid w:val="00D34374"/>
    <w:rsid w:val="00D575A8"/>
    <w:rsid w:val="00D874A0"/>
    <w:rsid w:val="00D876EE"/>
    <w:rsid w:val="00D90432"/>
    <w:rsid w:val="00E0510F"/>
    <w:rsid w:val="00E237DC"/>
    <w:rsid w:val="00E2568B"/>
    <w:rsid w:val="00E371F1"/>
    <w:rsid w:val="00E4067B"/>
    <w:rsid w:val="00E75A3F"/>
    <w:rsid w:val="00E776BD"/>
    <w:rsid w:val="00E81C76"/>
    <w:rsid w:val="00EA449C"/>
    <w:rsid w:val="00EB6C75"/>
    <w:rsid w:val="00EC0673"/>
    <w:rsid w:val="00F334CB"/>
    <w:rsid w:val="00F36EE4"/>
    <w:rsid w:val="00F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C0DA"/>
  <w15:docId w15:val="{591E5E1D-A18B-44DE-B9A8-90DD0256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9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10C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4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FA3"/>
  </w:style>
  <w:style w:type="paragraph" w:styleId="a7">
    <w:name w:val="footer"/>
    <w:basedOn w:val="a"/>
    <w:link w:val="a8"/>
    <w:uiPriority w:val="99"/>
    <w:unhideWhenUsed/>
    <w:rsid w:val="00554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4FA3"/>
  </w:style>
  <w:style w:type="paragraph" w:styleId="a9">
    <w:name w:val="Body Text"/>
    <w:basedOn w:val="a"/>
    <w:link w:val="aa"/>
    <w:rsid w:val="008E7597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8E759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ConsCell">
    <w:name w:val="ConsCell"/>
    <w:rsid w:val="008E759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4B0E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61C13-DB9F-41A2-85E9-8C1A1A59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Силина_ОВ</cp:lastModifiedBy>
  <cp:revision>114</cp:revision>
  <cp:lastPrinted>2024-03-11T23:40:00Z</cp:lastPrinted>
  <dcterms:created xsi:type="dcterms:W3CDTF">2013-12-25T03:24:00Z</dcterms:created>
  <dcterms:modified xsi:type="dcterms:W3CDTF">2025-01-29T23:09:00Z</dcterms:modified>
</cp:coreProperties>
</file>